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uk-UA"/>
        </w:rPr>
        <w:t>З 1 січня 2022 року набувають чинності окремі положення та зміни до податкового законодавства.</w:t>
      </w:r>
      <w:bookmarkStart w:id="0" w:name="_GoBack"/>
      <w:bookmarkEnd w:id="0"/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Нові розміри мінімальної зарплати та прожиткового мінімуму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5" w:history="1">
        <w:r w:rsidRPr="00F37CA7">
          <w:rPr>
            <w:rFonts w:ascii="Times New Roman" w:eastAsia="Times New Roman" w:hAnsi="Times New Roman" w:cs="Times New Roman"/>
            <w:color w:val="003B75"/>
            <w:sz w:val="24"/>
            <w:szCs w:val="24"/>
            <w:u w:val="single"/>
            <w:lang w:eastAsia="uk-UA"/>
          </w:rPr>
          <w:t>Законом про Держбюджет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який набрав чинності 1 січня 2022 року, встановлено такі основні показники та мінімуми на поточний рік:</w:t>
      </w:r>
    </w:p>
    <w:p w:rsidR="00F37CA7" w:rsidRPr="00F37CA7" w:rsidRDefault="00F37CA7" w:rsidP="00F37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мінімальна зарплата - у місячному розмірі: з 1 січня — 6500 гривень, з 1 жовтня — 6700 гривень; у погодинному розмірі: з 1 січня — 39,26 гривні, з 1 жовтня — 40,46 гривні ;</w:t>
      </w:r>
    </w:p>
    <w:p w:rsidR="00F37CA7" w:rsidRPr="00F37CA7" w:rsidRDefault="00F37CA7" w:rsidP="00F37C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прожитковий мінімум (для працездатних осіб): з 1 січня –  2481 грн, з 1 липня – 2600 грн, з 1 грудня – 2684 грн.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Вводиться в дію </w:t>
      </w:r>
      <w:hyperlink r:id="rId6" w:history="1">
        <w:r w:rsidRPr="00F37CA7">
          <w:rPr>
            <w:rFonts w:ascii="Times New Roman" w:eastAsia="Times New Roman" w:hAnsi="Times New Roman" w:cs="Times New Roman"/>
            <w:b/>
            <w:bCs/>
            <w:color w:val="003B75"/>
            <w:sz w:val="24"/>
            <w:szCs w:val="24"/>
            <w:u w:val="single"/>
            <w:lang w:eastAsia="uk-UA"/>
          </w:rPr>
          <w:t>нова форма</w:t>
        </w:r>
      </w:hyperlink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податкової декларації про майновий стан і доходи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Нова форма декларації передбачає об’єднання звітності з податку на доходи фізичних осіб та єдиного внеску на загальнообов'язкове державне соціальне страхування (далі – єдиний внесок), а також декларування частини прибутку контрольованої іноземної компанії (далі – КІК).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3. </w:t>
      </w:r>
      <w:hyperlink r:id="rId7" w:history="1">
        <w:r w:rsidRPr="00F37CA7">
          <w:rPr>
            <w:rFonts w:ascii="Times New Roman" w:eastAsia="Times New Roman" w:hAnsi="Times New Roman" w:cs="Times New Roman"/>
            <w:b/>
            <w:bCs/>
            <w:color w:val="003B75"/>
            <w:sz w:val="24"/>
            <w:szCs w:val="24"/>
            <w:u w:val="single"/>
            <w:lang w:eastAsia="uk-UA"/>
          </w:rPr>
          <w:t>Набув чинності</w:t>
        </w:r>
      </w:hyperlink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Закон "Про внесення змін до Податкового кодексу України та деяких законодавчих актів України щодо забезпечення збалансованості бюджетних надходжень"(</w:t>
      </w:r>
      <w:proofErr w:type="spellStart"/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проєкт</w:t>
      </w:r>
      <w:proofErr w:type="spellEnd"/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Закону № 5600)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Законом удосконалено положення Податкового кодексу України у частині, що стосується загальних питань адміністрування податків, податків на прибуток підприємств, доходів фізичних осіб, доданої вартості, акцизного та екологічного податків, рентної плати, плати за землю, умов перебування на спрощеній системі оподаткування.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4. </w:t>
      </w:r>
      <w:hyperlink r:id="rId8" w:history="1">
        <w:r w:rsidRPr="00F37CA7">
          <w:rPr>
            <w:rFonts w:ascii="Times New Roman" w:eastAsia="Times New Roman" w:hAnsi="Times New Roman" w:cs="Times New Roman"/>
            <w:b/>
            <w:bCs/>
            <w:color w:val="003B75"/>
            <w:sz w:val="24"/>
            <w:szCs w:val="24"/>
            <w:u w:val="single"/>
            <w:lang w:eastAsia="uk-UA"/>
          </w:rPr>
          <w:t>Нові правила</w:t>
        </w:r>
      </w:hyperlink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роботи з РРО</w:t>
      </w:r>
    </w:p>
    <w:p w:rsidR="00F37CA7" w:rsidRPr="00F37CA7" w:rsidRDefault="00F37CA7" w:rsidP="00F37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Фізичні особи – підприємці – платники єдиного податку другої,  третьої та четвертої груп згідно з вимогами Податкового кодексу з 01 січня 2022 року зобов’язані застосовувати РРО/ПРРО при здійсненні розрахункових операцій незалежно від виду діяльності та обсягу доходу</w:t>
      </w:r>
    </w:p>
    <w:p w:rsidR="00F37CA7" w:rsidRPr="00F37CA7" w:rsidRDefault="00F37CA7" w:rsidP="00F37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Фізичні особи – підприємці – платники єдиного  податку першої групи звільнені від обов’язку застосовувати РРО та/або ПРРО при здійсненні господарської діяльності. Тобто зазначена категорія ФОП, яка здійснює виключно роздрібний продаж товарів з торговельних місць на  ринках та/або провадить  господарську  діяльність з надання побутових послуг населенню, не використовує працю найманих осіб, з 01 січня 2022 року не застосовує РРО/ПРРО та не веде облік товарних запасів.</w:t>
      </w:r>
    </w:p>
    <w:p w:rsidR="00F37CA7" w:rsidRPr="00F37CA7" w:rsidRDefault="00F37CA7" w:rsidP="00F37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ФОП – платники єдиного податку, що здійснюють продаж  технічно складних побутових товарів, що підлягають гарантійному ремонту, а також лікарських засобів та виробів медичного призначення, ювелірних та побутових виробів з дорогоцінних металів, дорогоцінного каміння, а також платники єдиного податку, які зареєстровані платниками ПДВ, зобов’язані вести облік товарних запасів</w:t>
      </w:r>
    </w:p>
    <w:p w:rsidR="00F37CA7" w:rsidRPr="00F37CA7" w:rsidRDefault="00F37CA7" w:rsidP="00F37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Зростуть </w:t>
      </w:r>
      <w:hyperlink r:id="rId9" w:history="1">
        <w:r w:rsidRPr="00F37C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розміри штрафів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за незастосування РРО. Штраф за незастосування РРО у разі його обов'язкового використання буде становити 100% вартості проданих товарів (наразі - 10%).</w:t>
      </w:r>
    </w:p>
    <w:p w:rsidR="00F37CA7" w:rsidRPr="00F37CA7" w:rsidRDefault="00F37CA7" w:rsidP="00F37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Уряд звільнив від використання РРО підприємців, що працюють в селах. КМУ </w:t>
      </w:r>
      <w:hyperlink r:id="rId10" w:history="1">
        <w:r w:rsidRPr="00F37C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затвердив зміни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 Переліку №1336. Вони чітко визначають, що реалізація товарів на території села звільнена від обов‘язкового використання РРО. 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 Мінфін оновив всі реєстраційні документи для роботи з РРО, ПРРО, РК та КОРО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Набрав чинності Наказ Мінфіну від 13.12.2021 р. № 662. За ним всі реєстраційні заяви для застосування РРО, ПРРО, РК та КОРО тепер містять графу "код території" замість коду КОАТУУ.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6. </w:t>
      </w:r>
      <w:hyperlink r:id="rId11" w:history="1">
        <w:r w:rsidRPr="00F37CA7">
          <w:rPr>
            <w:rFonts w:ascii="Times New Roman" w:eastAsia="Times New Roman" w:hAnsi="Times New Roman" w:cs="Times New Roman"/>
            <w:b/>
            <w:bCs/>
            <w:color w:val="003B75"/>
            <w:sz w:val="24"/>
            <w:szCs w:val="24"/>
            <w:u w:val="single"/>
            <w:lang w:eastAsia="uk-UA"/>
          </w:rPr>
          <w:t>Затверджено</w:t>
        </w:r>
      </w:hyperlink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нові довідники податкових пільг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ДПС оприлюднила нові довідники податкових пільг — №106/1 та №106/2.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7. Набули чинності </w:t>
      </w:r>
      <w:hyperlink r:id="rId12" w:history="1">
        <w:r w:rsidRPr="00F37CA7">
          <w:rPr>
            <w:rFonts w:ascii="Times New Roman" w:eastAsia="Times New Roman" w:hAnsi="Times New Roman" w:cs="Times New Roman"/>
            <w:b/>
            <w:bCs/>
            <w:color w:val="003B75"/>
            <w:sz w:val="24"/>
            <w:szCs w:val="24"/>
            <w:u w:val="single"/>
            <w:lang w:eastAsia="uk-UA"/>
          </w:rPr>
          <w:t>правила оподаткування</w:t>
        </w:r>
      </w:hyperlink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за Законом про "податок на </w:t>
      </w:r>
      <w:proofErr w:type="spellStart"/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Google</w:t>
      </w:r>
      <w:proofErr w:type="spellEnd"/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"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 зобов'язує нерезидентів, які надають електронні послуги в Україні, зареєструватися платниками ПДВ та сплачувати 20 % податку.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8. Змінилося Положення про реєстрацію платників ПДВ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Мінфін </w:t>
      </w:r>
      <w:proofErr w:type="spellStart"/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вніс</w:t>
      </w:r>
      <w:proofErr w:type="spellEnd"/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зміни до Положення про реєстрацію платників ПДВ. Його, зокрема, приведено у відповідність до Закону №1525-IX щодо реєстрації, перереєстрації, анулювання реєстрації як платників ПДВ осіб-нерезидентів.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9. Набирав чинності Порядок електронної ідентифікації осіб-нерезидентів, які надають електронні послуги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Мінфін </w:t>
      </w:r>
      <w:hyperlink r:id="rId13" w:history="1">
        <w:r w:rsidRPr="00F37CA7">
          <w:rPr>
            <w:rFonts w:ascii="Times New Roman" w:eastAsia="Times New Roman" w:hAnsi="Times New Roman" w:cs="Times New Roman"/>
            <w:color w:val="003B75"/>
            <w:sz w:val="24"/>
            <w:szCs w:val="24"/>
            <w:u w:val="single"/>
            <w:lang w:eastAsia="uk-UA"/>
          </w:rPr>
          <w:t>затвердив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Порядок електронної ідентифікації осіб-нерезидентів, які надають електронні послуги. Ним визначаються загальні засади функціонування спеціального портального рішення для користувачів осіб-нерезидентів, які постачають електронні послуги, процедури їх електронної ідентифікації, взаємодії користувачів нерезидентів, які надають електронні послуги, та контролюючих органів через спеціальне портальне рішення для користувачів нерезидентів, які постачають електронні послуги.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10. Набрав чинності наказ, яким затверджено спрощену декларацію з ПДВ для електронних послуг нерезидентів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Мінфін затвердив форму спрощеної декларації з ПДВ для електронних послуг нерезидентів, які надаються фізичним особам у сфері реклами та Порядок її заповнення. Звітувати нерезидентам за цією декларацією слід буде з 2022 року.</w:t>
      </w:r>
      <w:hyperlink r:id="rId14" w:history="1">
        <w:r w:rsidRPr="00F37CA7">
          <w:rPr>
            <w:rFonts w:ascii="Times New Roman" w:eastAsia="Times New Roman" w:hAnsi="Times New Roman" w:cs="Times New Roman"/>
            <w:color w:val="003B75"/>
            <w:sz w:val="24"/>
            <w:szCs w:val="24"/>
            <w:u w:val="single"/>
            <w:lang w:eastAsia="uk-UA"/>
          </w:rPr>
          <w:t> Наказ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від 21.10.2021 р. №555.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11. Нові форми податкових повідомлень нерезиденту та розрахунків грошових зобов'язань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Мінфін </w:t>
      </w:r>
      <w:hyperlink r:id="rId15" w:history="1">
        <w:r w:rsidRPr="00F37CA7">
          <w:rPr>
            <w:rFonts w:ascii="Times New Roman" w:eastAsia="Times New Roman" w:hAnsi="Times New Roman" w:cs="Times New Roman"/>
            <w:color w:val="003B75"/>
            <w:sz w:val="24"/>
            <w:szCs w:val="24"/>
            <w:u w:val="single"/>
            <w:lang w:eastAsia="uk-UA"/>
          </w:rPr>
          <w:t>затвердив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форми: податкового повідомлення особі – нерезиденту, зареєстрованій як платник ПДВ, та розрахунку грошового зобов’язання, а також податкового повідомлення </w:t>
      </w: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особі – нерезиденту, не зареєстрованій як платник ПДВ, та розрахунку грошового зобов’язання до нього.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12. Стартувала компанія декларування доходів за 2021 рік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ДПС </w:t>
      </w:r>
      <w:hyperlink r:id="rId16" w:history="1">
        <w:r w:rsidRPr="00F37CA7">
          <w:rPr>
            <w:rFonts w:ascii="Times New Roman" w:eastAsia="Times New Roman" w:hAnsi="Times New Roman" w:cs="Times New Roman"/>
            <w:color w:val="003B75"/>
            <w:sz w:val="24"/>
            <w:szCs w:val="24"/>
            <w:u w:val="single"/>
            <w:lang w:eastAsia="uk-UA"/>
          </w:rPr>
          <w:t>нагадує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з початку 2022 року стартує кампанія декларування громадянами доходів, одержаних протягом 2021 року.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13. Новий порядок узгодження з ДПС цін за контрольованими операціями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17" w:history="1">
        <w:r w:rsidRPr="00F37CA7">
          <w:rPr>
            <w:rFonts w:ascii="Times New Roman" w:eastAsia="Times New Roman" w:hAnsi="Times New Roman" w:cs="Times New Roman"/>
            <w:color w:val="003B75"/>
            <w:sz w:val="24"/>
            <w:szCs w:val="24"/>
            <w:u w:val="single"/>
            <w:lang w:eastAsia="uk-UA"/>
          </w:rPr>
          <w:t>Постановою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від 28.10.2021 р. №1114 КМУ затвердив новий порядок узгодження між великими платниками податку на прибуток та податківцями цін за контрольованими операціями.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14. </w:t>
      </w:r>
      <w:hyperlink r:id="rId18" w:history="1">
        <w:r w:rsidRPr="00F37CA7">
          <w:rPr>
            <w:rFonts w:ascii="Times New Roman" w:eastAsia="Times New Roman" w:hAnsi="Times New Roman" w:cs="Times New Roman"/>
            <w:b/>
            <w:bCs/>
            <w:color w:val="003B75"/>
            <w:sz w:val="24"/>
            <w:szCs w:val="24"/>
            <w:u w:val="single"/>
            <w:lang w:eastAsia="uk-UA"/>
          </w:rPr>
          <w:t>Змінені реквізити</w:t>
        </w:r>
      </w:hyperlink>
      <w:r w:rsidRPr="00F3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бюджетних рахунків для зарахування надходжень до державного бюджету</w:t>
      </w:r>
    </w:p>
    <w:p w:rsidR="00F37CA7" w:rsidRPr="00F37CA7" w:rsidRDefault="00F37CA7" w:rsidP="00F37CA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щодо актуальних реквізитів бюджетних рахунків для сплати платежів до бюджету у 2022 році розміщена на </w:t>
      </w:r>
      <w:proofErr w:type="spellStart"/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вебсторінках</w:t>
      </w:r>
      <w:proofErr w:type="spellEnd"/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територіальних органів ДПС  за </w:t>
      </w:r>
      <w:hyperlink r:id="rId19" w:history="1">
        <w:r w:rsidRPr="00F37CA7">
          <w:rPr>
            <w:rFonts w:ascii="Times New Roman" w:eastAsia="Times New Roman" w:hAnsi="Times New Roman" w:cs="Times New Roman"/>
            <w:color w:val="003B75"/>
            <w:sz w:val="24"/>
            <w:szCs w:val="24"/>
            <w:u w:val="single"/>
            <w:lang w:eastAsia="uk-UA"/>
          </w:rPr>
          <w:t>посиланням</w:t>
        </w:r>
      </w:hyperlink>
      <w:r w:rsidRPr="00F37C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E5ED6" w:rsidRPr="00F37CA7" w:rsidRDefault="00CE5ED6">
      <w:pPr>
        <w:rPr>
          <w:rFonts w:ascii="Times New Roman" w:hAnsi="Times New Roman" w:cs="Times New Roman"/>
          <w:sz w:val="24"/>
          <w:szCs w:val="24"/>
        </w:rPr>
      </w:pPr>
    </w:p>
    <w:sectPr w:rsidR="00CE5ED6" w:rsidRPr="00F37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14A8C"/>
    <w:multiLevelType w:val="multilevel"/>
    <w:tmpl w:val="31D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65814"/>
    <w:multiLevelType w:val="multilevel"/>
    <w:tmpl w:val="63A6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9D"/>
    <w:rsid w:val="002C709D"/>
    <w:rsid w:val="00CE5ED6"/>
    <w:rsid w:val="00F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A5E0D-E565-494C-9A69-6F335D5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gov.ua/media-tsentr/novini/546965.html" TargetMode="External"/><Relationship Id="rId13" Type="http://schemas.openxmlformats.org/officeDocument/2006/relationships/hyperlink" Target="https://mof.gov.ua/uk/decrees_2021-487" TargetMode="External"/><Relationship Id="rId18" Type="http://schemas.openxmlformats.org/officeDocument/2006/relationships/hyperlink" Target="https://tax.gov.ua/media-tsentr/novini/548207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ur-gazeta.com/golovna/rada-uhvalila-v-cilomu-podatkoviy-zakonoproekt-5600.html" TargetMode="External"/><Relationship Id="rId12" Type="http://schemas.openxmlformats.org/officeDocument/2006/relationships/hyperlink" Target="https://yur-gazeta.com/golovna/nabuv-chinnosti-zakon-pro-podatok-na-google.html" TargetMode="External"/><Relationship Id="rId17" Type="http://schemas.openxmlformats.org/officeDocument/2006/relationships/hyperlink" Target="https://www.kmu.gov.ua/npas/pro-zatverdzhennya-poryadku-poperednogo-uzgodzhennya-cinoutvorennya-u-kontrolovanih-operaciyah-za-rezultatami-yakogo-ukladayutsya-dogovori-shcho-mayut-odnostoronnij-dvostoronnij-i281021-1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p.tax.gov.ua/media-ark/news-ark/547905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ur-gazeta.com/golovna/z-1-sichnya-vvoditsya-v-diyu-nova-forma-podatkovoyi-deklaraciyi-pro-maynoviy-stan-i-dohodi.html" TargetMode="External"/><Relationship Id="rId11" Type="http://schemas.openxmlformats.org/officeDocument/2006/relationships/hyperlink" Target="https://tax.gov.ua/dovidniki--reestri--perelik/dovidniki-/54005.html" TargetMode="External"/><Relationship Id="rId5" Type="http://schemas.openxmlformats.org/officeDocument/2006/relationships/hyperlink" Target="https://zakon.rada.gov.ua/laws/show/1082-20" TargetMode="External"/><Relationship Id="rId15" Type="http://schemas.openxmlformats.org/officeDocument/2006/relationships/hyperlink" Target="https://mof.gov.ua/uk/decrees_2021-487" TargetMode="External"/><Relationship Id="rId10" Type="http://schemas.openxmlformats.org/officeDocument/2006/relationships/hyperlink" Target="https://yur-gazeta.com/golovna/uryad-zvilniv-vid-vikoristannya-rro-pidpriemciv-shcho-pracyuyut-v-selah.html" TargetMode="External"/><Relationship Id="rId19" Type="http://schemas.openxmlformats.org/officeDocument/2006/relationships/hyperlink" Target="https://tax.gov.ua/byudjetni-rahun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t.tax.gov.ua/media-ark/local-news/542082.html" TargetMode="External"/><Relationship Id="rId14" Type="http://schemas.openxmlformats.org/officeDocument/2006/relationships/hyperlink" Target="https://tax.gov.ua/zakonodavstvo/podatkove-zakonodavstvo/nakazi/76671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4570</Words>
  <Characters>2606</Characters>
  <Application>Microsoft Office Word</Application>
  <DocSecurity>0</DocSecurity>
  <Lines>21</Lines>
  <Paragraphs>14</Paragraphs>
  <ScaleCrop>false</ScaleCrop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Prozora</dc:creator>
  <cp:keywords/>
  <dc:description/>
  <cp:lastModifiedBy>Prozora</cp:lastModifiedBy>
  <cp:revision>3</cp:revision>
  <dcterms:created xsi:type="dcterms:W3CDTF">2022-01-21T08:27:00Z</dcterms:created>
  <dcterms:modified xsi:type="dcterms:W3CDTF">2022-01-21T08:27:00Z</dcterms:modified>
</cp:coreProperties>
</file>