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3B" w:rsidRDefault="00426D3B" w:rsidP="00D03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Аналітичний звіт за результатами містобудівного</w:t>
      </w:r>
    </w:p>
    <w:p w:rsidR="00426D3B" w:rsidRDefault="00426D3B" w:rsidP="00D03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моніторингу Червоноградської територіальної громади Червоноградського району Львівської області у 2022 році</w:t>
      </w:r>
    </w:p>
    <w:p w:rsidR="00426D3B" w:rsidRDefault="00426D3B" w:rsidP="00D03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D3B" w:rsidRDefault="00426D3B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містобудівного моніторингу територіальної громади проведено відповідно до вимог статті 23 Закону України «Про регулювання містобудівної діяльності» в порядку, визначеному наказом Міністерства регіонального розвитку, будівництва та житлово-комунального господарства України від 01.09.2011 № 170 (у редакції наказу Міністерства розвитку громад та територій України від 14.12.2021 № 333) (далі - Порядок).</w:t>
      </w:r>
    </w:p>
    <w:p w:rsidR="00426D3B" w:rsidRDefault="00426D3B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Уповноваженим органом містобудування та архітектури визначено об’єктом містобудівного моніторингу</w:t>
      </w:r>
      <w:r w:rsidRPr="00157258">
        <w:t xml:space="preserve"> </w:t>
      </w:r>
      <w:r w:rsidRPr="00157258">
        <w:rPr>
          <w:rFonts w:ascii="Times New Roman" w:hAnsi="Times New Roman"/>
          <w:sz w:val="28"/>
          <w:szCs w:val="28"/>
        </w:rPr>
        <w:t>територі</w:t>
      </w:r>
      <w:r>
        <w:rPr>
          <w:rFonts w:ascii="Times New Roman" w:hAnsi="Times New Roman"/>
          <w:sz w:val="28"/>
          <w:szCs w:val="28"/>
        </w:rPr>
        <w:t>ю</w:t>
      </w:r>
      <w:r w:rsidRPr="00157258">
        <w:rPr>
          <w:rFonts w:ascii="Times New Roman" w:hAnsi="Times New Roman"/>
          <w:sz w:val="28"/>
          <w:szCs w:val="28"/>
        </w:rPr>
        <w:t xml:space="preserve"> Червоноградської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Інформування громадськості щодо початку підготовки аналітичного звіту проведено шляхом опублікування повідомлення на веб-сайті Червоноградської міської ради в розділі «Управління інформує»</w:t>
      </w:r>
      <w:r w:rsidRPr="00157258">
        <w:t xml:space="preserve"> </w:t>
      </w:r>
      <w:hyperlink r:id="rId5" w:history="1">
        <w:r w:rsidRPr="00345071">
          <w:rPr>
            <w:rStyle w:val="Hyperlink"/>
            <w:rFonts w:ascii="Times New Roman" w:hAnsi="Times New Roman"/>
            <w:color w:val="034990"/>
            <w:sz w:val="28"/>
            <w:szCs w:val="28"/>
          </w:rPr>
          <w:t>https://www.chg.gov.ua/Upravlinnia-mistobuduvannia-ta-arhitektury-informue/st-337</w:t>
        </w:r>
        <w:r w:rsidRPr="00345071">
          <w:rPr>
            <w:rStyle w:val="Hyperlink"/>
            <w:rFonts w:ascii="Times New Roman" w:hAnsi="Times New Roman"/>
            <w:color w:val="034990"/>
            <w:sz w:val="28"/>
            <w:szCs w:val="28"/>
            <w:vertAlign w:val="subscript"/>
          </w:rPr>
          <w:t xml:space="preserve"> </w:t>
        </w:r>
        <w:r w:rsidRPr="00345071">
          <w:rPr>
            <w:rStyle w:val="Hyperlink"/>
            <w:rFonts w:ascii="Times New Roman" w:hAnsi="Times New Roman"/>
            <w:color w:val="034990"/>
            <w:sz w:val="28"/>
            <w:szCs w:val="28"/>
          </w:rPr>
          <w:t xml:space="preserve"> </w:t>
        </w:r>
      </w:hyperlink>
      <w:r w:rsidRPr="008439E8">
        <w:rPr>
          <w:rFonts w:ascii="Times New Roman" w:hAnsi="Times New Roman"/>
          <w:color w:val="2E74B5"/>
          <w:sz w:val="28"/>
          <w:szCs w:val="28"/>
        </w:rPr>
        <w:t xml:space="preserve"> </w:t>
      </w:r>
    </w:p>
    <w:p w:rsidR="00426D3B" w:rsidRPr="00C7109F" w:rsidRDefault="00426D3B" w:rsidP="00D0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публікації 06.01.2023 р.</w:t>
      </w:r>
    </w:p>
    <w:p w:rsidR="00426D3B" w:rsidRDefault="00426D3B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Прийом пропозицій громадськості проведено в період  з</w:t>
      </w:r>
      <w:r w:rsidRPr="008439E8">
        <w:t xml:space="preserve"> </w:t>
      </w:r>
      <w:r w:rsidRPr="008439E8">
        <w:rPr>
          <w:rFonts w:ascii="Times New Roman" w:hAnsi="Times New Roman"/>
          <w:sz w:val="28"/>
          <w:szCs w:val="28"/>
        </w:rPr>
        <w:t>10 січня 2023 р. до 20 січня 2023 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6D3B" w:rsidRDefault="00426D3B" w:rsidP="001B6AD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Інформацію про проведення громадських обговорень проекту аналітичного звіту розміщено на офіційному веб-сайті </w:t>
      </w:r>
      <w:r w:rsidRPr="0057321A">
        <w:rPr>
          <w:rFonts w:ascii="Times New Roman" w:hAnsi="Times New Roman"/>
          <w:sz w:val="28"/>
          <w:szCs w:val="28"/>
        </w:rPr>
        <w:t>Червоноградської міської ради в розділі «Управління інформує»</w:t>
      </w:r>
      <w:r>
        <w:rPr>
          <w:rFonts w:ascii="Times New Roman" w:hAnsi="Times New Roman"/>
          <w:sz w:val="28"/>
          <w:szCs w:val="28"/>
        </w:rPr>
        <w:t>. Дата публікації 24.01.2023 р.</w:t>
      </w:r>
    </w:p>
    <w:p w:rsidR="00426D3B" w:rsidRDefault="00426D3B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Громадські обговорення проекту аналітичного звіту буде проведено в період з </w:t>
      </w:r>
      <w:r w:rsidRPr="0057321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732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21A">
        <w:rPr>
          <w:rFonts w:ascii="Times New Roman" w:hAnsi="Times New Roman"/>
          <w:sz w:val="28"/>
          <w:szCs w:val="28"/>
        </w:rPr>
        <w:t xml:space="preserve">січня  до </w:t>
      </w:r>
      <w:r>
        <w:rPr>
          <w:rFonts w:ascii="Times New Roman" w:hAnsi="Times New Roman"/>
          <w:sz w:val="28"/>
          <w:szCs w:val="28"/>
        </w:rPr>
        <w:t>06</w:t>
      </w:r>
      <w:r w:rsidRPr="0057321A">
        <w:rPr>
          <w:rFonts w:ascii="Times New Roman" w:hAnsi="Times New Roman"/>
          <w:sz w:val="28"/>
          <w:szCs w:val="28"/>
        </w:rPr>
        <w:t xml:space="preserve"> лютого.</w:t>
      </w:r>
    </w:p>
    <w:p w:rsidR="00426D3B" w:rsidRPr="00AF6BE2" w:rsidRDefault="00426D3B" w:rsidP="00D03B08">
      <w:pPr>
        <w:pStyle w:val="ListParagraph"/>
        <w:spacing w:before="240" w:after="0" w:line="240" w:lineRule="auto"/>
        <w:ind w:left="1070"/>
        <w:jc w:val="both"/>
        <w:rPr>
          <w:rFonts w:ascii="Times New Roman" w:hAnsi="Times New Roman"/>
          <w:b/>
          <w:i/>
          <w:sz w:val="28"/>
          <w:szCs w:val="28"/>
        </w:rPr>
      </w:pPr>
      <w:r w:rsidRPr="00AF6BE2">
        <w:rPr>
          <w:rFonts w:ascii="Times New Roman" w:hAnsi="Times New Roman"/>
          <w:b/>
          <w:i/>
          <w:sz w:val="28"/>
          <w:szCs w:val="28"/>
        </w:rPr>
        <w:t xml:space="preserve">Розділ 1. </w:t>
      </w:r>
      <w:r>
        <w:rPr>
          <w:rFonts w:ascii="Times New Roman" w:hAnsi="Times New Roman"/>
          <w:b/>
          <w:i/>
          <w:sz w:val="28"/>
          <w:szCs w:val="28"/>
        </w:rPr>
        <w:t>«Топографічний моніторинг»</w:t>
      </w:r>
    </w:p>
    <w:p w:rsidR="00426D3B" w:rsidRPr="00157258" w:rsidRDefault="00426D3B" w:rsidP="00D03B08">
      <w:pPr>
        <w:pStyle w:val="ListParagraph"/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7258">
        <w:rPr>
          <w:rFonts w:ascii="Times New Roman" w:hAnsi="Times New Roman"/>
          <w:sz w:val="28"/>
          <w:szCs w:val="28"/>
        </w:rPr>
        <w:t>У 2022 році завершено роботи по розробці проектів змін до генерального плану міста Червонограда та плану зонування території міста. Графічну частину цієї документації виконано на актуалізованій картографо-геодезичній основі, яка виконана ВП «Червоноградське бюро спеціалізованих маркшейдерських робіт ДП «Львіввугілля»</w:t>
      </w:r>
      <w:r>
        <w:rPr>
          <w:rFonts w:ascii="Times New Roman" w:hAnsi="Times New Roman"/>
          <w:sz w:val="28"/>
          <w:szCs w:val="28"/>
        </w:rPr>
        <w:t>.</w:t>
      </w:r>
      <w:r w:rsidRPr="00157258">
        <w:rPr>
          <w:rFonts w:ascii="Times New Roman" w:hAnsi="Times New Roman"/>
          <w:sz w:val="28"/>
          <w:szCs w:val="28"/>
        </w:rPr>
        <w:t xml:space="preserve"> </w:t>
      </w:r>
    </w:p>
    <w:p w:rsidR="00426D3B" w:rsidRDefault="00426D3B" w:rsidP="00D03B08">
      <w:pPr>
        <w:pStyle w:val="ListParagraph"/>
        <w:spacing w:before="240"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Також </w:t>
      </w:r>
      <w:r w:rsidRPr="00537E1C">
        <w:rPr>
          <w:rFonts w:ascii="Times New Roman" w:hAnsi="Times New Roman"/>
          <w:sz w:val="28"/>
          <w:szCs w:val="28"/>
        </w:rPr>
        <w:t>чотири</w:t>
      </w:r>
      <w:r w:rsidRPr="00113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детальні плани територій</w:t>
      </w:r>
      <w:r w:rsidRPr="001131F8">
        <w:rPr>
          <w:rFonts w:ascii="Times New Roman" w:hAnsi="Times New Roman"/>
          <w:sz w:val="28"/>
          <w:szCs w:val="28"/>
        </w:rPr>
        <w:t xml:space="preserve"> в район</w:t>
      </w:r>
      <w:r>
        <w:rPr>
          <w:rFonts w:ascii="Times New Roman" w:hAnsi="Times New Roman"/>
          <w:sz w:val="28"/>
          <w:szCs w:val="28"/>
        </w:rPr>
        <w:t xml:space="preserve">і присілків Дженджерівка та </w:t>
      </w:r>
      <w:r w:rsidRPr="00D03B08">
        <w:rPr>
          <w:rFonts w:ascii="Times New Roman" w:hAnsi="Times New Roman"/>
          <w:sz w:val="28"/>
          <w:szCs w:val="28"/>
        </w:rPr>
        <w:t>Солтиси</w:t>
      </w:r>
      <w:r>
        <w:rPr>
          <w:rFonts w:ascii="Times New Roman" w:hAnsi="Times New Roman"/>
          <w:sz w:val="28"/>
          <w:szCs w:val="28"/>
        </w:rPr>
        <w:t xml:space="preserve"> у селі Сілець, та села Волсвин розроблені на топографічних картографо- геодезичних основах, виконаних ТзОВ ПО «УкрЗахідУрбанізація» та КП </w:t>
      </w:r>
      <w:r w:rsidRPr="008B1AAC">
        <w:rPr>
          <w:rFonts w:ascii="Times New Roman" w:hAnsi="Times New Roman"/>
          <w:sz w:val="28"/>
          <w:szCs w:val="28"/>
        </w:rPr>
        <w:t xml:space="preserve">Львівське </w:t>
      </w:r>
      <w:r>
        <w:rPr>
          <w:rFonts w:ascii="Times New Roman" w:hAnsi="Times New Roman"/>
          <w:sz w:val="28"/>
          <w:szCs w:val="28"/>
        </w:rPr>
        <w:t>о</w:t>
      </w:r>
      <w:r w:rsidRPr="008B1AAC">
        <w:rPr>
          <w:rFonts w:ascii="Times New Roman" w:hAnsi="Times New Roman"/>
          <w:sz w:val="28"/>
          <w:szCs w:val="28"/>
        </w:rPr>
        <w:t xml:space="preserve">бласне </w:t>
      </w:r>
      <w:r>
        <w:rPr>
          <w:rFonts w:ascii="Times New Roman" w:hAnsi="Times New Roman"/>
          <w:sz w:val="28"/>
          <w:szCs w:val="28"/>
        </w:rPr>
        <w:t>п</w:t>
      </w:r>
      <w:r w:rsidRPr="008B1AAC">
        <w:rPr>
          <w:rFonts w:ascii="Times New Roman" w:hAnsi="Times New Roman"/>
          <w:sz w:val="28"/>
          <w:szCs w:val="28"/>
        </w:rPr>
        <w:t>роектно-виробниче архітектурно-планувальне бюро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D03B08">
      <w:pPr>
        <w:pStyle w:val="ListParagraph"/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Усі </w:t>
      </w:r>
      <w:r w:rsidRPr="00235D91">
        <w:rPr>
          <w:rFonts w:ascii="Times New Roman" w:hAnsi="Times New Roman"/>
          <w:sz w:val="28"/>
          <w:szCs w:val="28"/>
        </w:rPr>
        <w:t>картографо-геодезичні основ</w:t>
      </w:r>
      <w:r>
        <w:rPr>
          <w:rFonts w:ascii="Times New Roman" w:hAnsi="Times New Roman"/>
          <w:sz w:val="28"/>
          <w:szCs w:val="28"/>
        </w:rPr>
        <w:t>и виконані у</w:t>
      </w:r>
      <w:r w:rsidRPr="00235D91">
        <w:rPr>
          <w:rFonts w:ascii="Times New Roman" w:hAnsi="Times New Roman"/>
          <w:sz w:val="28"/>
          <w:szCs w:val="28"/>
        </w:rPr>
        <w:t xml:space="preserve"> місцевій системі координат з прив’язкою до державної системи кординат УСК-2000.</w:t>
      </w:r>
    </w:p>
    <w:p w:rsidR="00426D3B" w:rsidRDefault="00426D3B" w:rsidP="00D03B08">
      <w:pPr>
        <w:pStyle w:val="ListParagraph"/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7258">
        <w:rPr>
          <w:rFonts w:ascii="Times New Roman" w:hAnsi="Times New Roman"/>
          <w:sz w:val="28"/>
          <w:szCs w:val="28"/>
        </w:rPr>
        <w:t>Суттєвих змін на місцевості не відбулося.</w:t>
      </w:r>
    </w:p>
    <w:p w:rsidR="00426D3B" w:rsidRDefault="00426D3B" w:rsidP="00D03B08">
      <w:pPr>
        <w:pStyle w:val="ListParagraph"/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26D3B" w:rsidRPr="00A25DEC" w:rsidRDefault="00426D3B" w:rsidP="00A25DEC">
      <w:pPr>
        <w:pStyle w:val="ListParagraph"/>
        <w:spacing w:before="240" w:after="0" w:line="240" w:lineRule="auto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Розділ 2.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Моні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торинг навколишнього середовища»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DE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стан атмосферного повітря мають вплив стаціонарні, в першу чергу вуглевидобувні підприємства, та пересувні джерела викидів забруднюючих речовин.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DEC">
        <w:rPr>
          <w:rFonts w:ascii="Times New Roman" w:hAnsi="Times New Roman"/>
          <w:sz w:val="28"/>
          <w:szCs w:val="28"/>
        </w:rPr>
        <w:t>Найбільші обсяги викидів забруднюючих речовин в атмосферне повітря мають підприємства постачання електроенергії, газу, пари та кондиційованого повітря (33 тис. 587 т, або 37,8% від загальних викидів стаціонарними джерелами по області), добування кам’яного та бурого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B30">
        <w:rPr>
          <w:rFonts w:ascii="Times New Roman" w:hAnsi="Times New Roman"/>
          <w:sz w:val="28"/>
          <w:szCs w:val="28"/>
        </w:rPr>
        <w:t>вугілля (39 тис. 48 т, або 44,0% від загальних викидів стаціонарними джерелами по області).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>У районах та містах, де розташовані підприємства цих галузей</w:t>
      </w:r>
      <w:r w:rsidRPr="002928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4B30">
        <w:rPr>
          <w:rFonts w:ascii="Times New Roman" w:hAnsi="Times New Roman"/>
          <w:sz w:val="28"/>
          <w:szCs w:val="28"/>
        </w:rPr>
        <w:t xml:space="preserve">спостерігаються найвищі обсяги викидів в атмосферне повітря, зокрема </w:t>
      </w:r>
      <w:r>
        <w:rPr>
          <w:rFonts w:ascii="Times New Roman" w:hAnsi="Times New Roman"/>
          <w:sz w:val="28"/>
          <w:szCs w:val="28"/>
        </w:rPr>
        <w:t>Червоноградський</w:t>
      </w:r>
      <w:r w:rsidRPr="00034B30">
        <w:rPr>
          <w:rFonts w:ascii="Times New Roman" w:hAnsi="Times New Roman"/>
          <w:sz w:val="28"/>
          <w:szCs w:val="28"/>
        </w:rPr>
        <w:t xml:space="preserve"> район – 23тис. 159 т (26,1%), Червоноград</w:t>
      </w:r>
      <w:r>
        <w:rPr>
          <w:rFonts w:ascii="Times New Roman" w:hAnsi="Times New Roman"/>
          <w:sz w:val="28"/>
          <w:szCs w:val="28"/>
        </w:rPr>
        <w:t xml:space="preserve">ська громада </w:t>
      </w:r>
      <w:r w:rsidRPr="00034B30">
        <w:rPr>
          <w:rFonts w:ascii="Times New Roman" w:hAnsi="Times New Roman"/>
          <w:sz w:val="28"/>
          <w:szCs w:val="28"/>
        </w:rPr>
        <w:t xml:space="preserve"> – 13629 т (15,3%)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Викиди в атмосферне повітря міста від стаціонарних джерел забруднення спричиняють підприємства теплоенергетики, виробництво будівельних матеріалів тощо, а від пересувних джерел – рух автотранспорту. 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Основними джерелами забруднення повітряного басейну вугільною галуззю є викиди метану шахтними вентиляційними установками, а також продукти згорання унаслідок самозаймання вуглевмісних порід у відвалах і териконах. При роботі цих об’єктів в атмосферу виділяється дим, пил і гази, утворюється зола та інші відходи. Спалювання вугілля і інших видів палива супроводжується виділенням оксиду вуглецю, діоксину і </w:t>
      </w:r>
      <w:r>
        <w:rPr>
          <w:rFonts w:ascii="Times New Roman" w:hAnsi="Times New Roman"/>
          <w:sz w:val="28"/>
          <w:szCs w:val="28"/>
        </w:rPr>
        <w:t>сполук</w:t>
      </w:r>
      <w:r w:rsidRPr="00034B30">
        <w:rPr>
          <w:rFonts w:ascii="Times New Roman" w:hAnsi="Times New Roman"/>
          <w:sz w:val="28"/>
          <w:szCs w:val="28"/>
        </w:rPr>
        <w:t xml:space="preserve"> сірки, діоксиду і сполук азоту та інших. У золі, що утворюється при спалюванні вугілля, міститься цинк, свинець, хром, нікель, їх сполуки та інші забруднюючі речовини.  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>За інформацією Червоноградського районного відділу ДУ "Львівський обласний центр контролю та профілактики МОЗ України", що основними забрудн</w:t>
      </w:r>
      <w:r>
        <w:rPr>
          <w:rFonts w:ascii="Times New Roman" w:hAnsi="Times New Roman"/>
          <w:sz w:val="28"/>
          <w:szCs w:val="28"/>
        </w:rPr>
        <w:t>ювачами повітря в місті є шахти.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>До основних забруднюючих речовин, що надходять в атмосферне повітря на території м. Червоноград є метан, діоксид сірки, оксид вуглецю, діоксид азоту, неметанові леткі органічні сполуки, сажа та інші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034B30">
      <w:pPr>
        <w:spacing w:after="0" w:line="240" w:lineRule="auto"/>
        <w:ind w:firstLine="709"/>
        <w:jc w:val="both"/>
      </w:pPr>
      <w:r w:rsidRPr="00271AB5">
        <w:rPr>
          <w:rFonts w:ascii="Times New Roman" w:hAnsi="Times New Roman"/>
          <w:sz w:val="28"/>
          <w:szCs w:val="28"/>
        </w:rPr>
        <w:t>Найбільша кількість викидів від стаціонарних джерел в атмосферне повітря у м. Червонограді зафіксована у 2018 р. і становила 13 958 т. Проте за  останні роки обсяг викидів зменшився.</w:t>
      </w:r>
      <w:r w:rsidRPr="00034B30">
        <w:t xml:space="preserve"> </w:t>
      </w:r>
    </w:p>
    <w:p w:rsidR="00426D3B" w:rsidRDefault="00426D3B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Основними забруднювачами атмосферного повітря у </w:t>
      </w:r>
      <w:r>
        <w:rPr>
          <w:rFonts w:ascii="Times New Roman" w:hAnsi="Times New Roman"/>
          <w:sz w:val="28"/>
          <w:szCs w:val="28"/>
        </w:rPr>
        <w:t>Червоноградській громаді</w:t>
      </w:r>
      <w:r w:rsidRPr="00034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є підприємства ДП «Львіввугілля» а саме шахти: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«Червоградська»</w:t>
      </w:r>
      <w:r w:rsidRPr="00034B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«Межирічанська»,</w:t>
      </w:r>
      <w:r w:rsidRPr="008B3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«Великомостівська»,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«Відродження»,</w:t>
      </w:r>
      <w:r w:rsidRPr="001C4F6A">
        <w:rPr>
          <w:rFonts w:ascii="Times New Roman" w:hAnsi="Times New Roman"/>
          <w:sz w:val="28"/>
          <w:szCs w:val="28"/>
        </w:rPr>
        <w:t xml:space="preserve"> </w:t>
      </w:r>
      <w:r w:rsidRPr="00F758D2">
        <w:rPr>
          <w:rFonts w:ascii="Times New Roman" w:hAnsi="Times New Roman"/>
          <w:sz w:val="28"/>
          <w:szCs w:val="28"/>
        </w:rPr>
        <w:t>«Лісова»</w:t>
      </w:r>
      <w:r>
        <w:rPr>
          <w:rFonts w:ascii="Times New Roman" w:hAnsi="Times New Roman"/>
          <w:sz w:val="28"/>
          <w:szCs w:val="28"/>
        </w:rPr>
        <w:t>,</w:t>
      </w:r>
      <w:r w:rsidRPr="001C4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«Зарічна», «Візейська»,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«Надія»,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«Степова»,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Червоноградська центральна збагачувальна фабрика («Львівська вугільна компанія»)</w:t>
      </w:r>
      <w:r w:rsidRPr="00B62EA5">
        <w:rPr>
          <w:rFonts w:ascii="Times New Roman" w:hAnsi="Times New Roman"/>
          <w:sz w:val="28"/>
          <w:szCs w:val="28"/>
        </w:rPr>
        <w:t xml:space="preserve">. </w:t>
      </w:r>
      <w:r w:rsidRPr="005F588F">
        <w:rPr>
          <w:rFonts w:ascii="Times New Roman" w:hAnsi="Times New Roman"/>
          <w:sz w:val="28"/>
          <w:szCs w:val="28"/>
        </w:rPr>
        <w:t>Загальна площа</w:t>
      </w:r>
      <w:r>
        <w:rPr>
          <w:rFonts w:ascii="Times New Roman" w:hAnsi="Times New Roman"/>
          <w:sz w:val="28"/>
          <w:szCs w:val="28"/>
        </w:rPr>
        <w:t xml:space="preserve"> породних</w:t>
      </w:r>
      <w:r w:rsidRPr="005F588F">
        <w:rPr>
          <w:rFonts w:ascii="Times New Roman" w:hAnsi="Times New Roman"/>
          <w:sz w:val="28"/>
          <w:szCs w:val="28"/>
        </w:rPr>
        <w:t xml:space="preserve"> відвалів</w:t>
      </w:r>
      <w:r>
        <w:rPr>
          <w:rFonts w:ascii="Times New Roman" w:hAnsi="Times New Roman"/>
          <w:sz w:val="28"/>
          <w:szCs w:val="28"/>
        </w:rPr>
        <w:t xml:space="preserve"> гірничодобувних підприємств</w:t>
      </w:r>
      <w:r w:rsidRPr="005F588F">
        <w:rPr>
          <w:rFonts w:ascii="Times New Roman" w:hAnsi="Times New Roman"/>
          <w:sz w:val="28"/>
          <w:szCs w:val="28"/>
        </w:rPr>
        <w:t xml:space="preserve"> орієнтовно 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88F">
        <w:rPr>
          <w:rFonts w:ascii="Times New Roman" w:hAnsi="Times New Roman"/>
          <w:sz w:val="28"/>
          <w:szCs w:val="28"/>
        </w:rPr>
        <w:t xml:space="preserve">2 800 тис.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даних державної служби геології та надр у Львівській області в районі інтенсивного ведення гірничих робіт (Червоноградського гірничо</w:t>
      </w:r>
      <w:r w:rsidRPr="00073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промислового району) площа осідання становить 11,5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величина осідання до </w:t>
      </w:r>
      <w:smartTag w:uri="urn:schemas-microsoft-com:office:smarttags" w:element="metricconverter">
        <w:smartTagPr>
          <w:attr w:name="ProductID" w:val="3,0 м"/>
        </w:smartTagPr>
        <w:r>
          <w:rPr>
            <w:rFonts w:ascii="Times New Roman" w:hAnsi="Times New Roman"/>
            <w:sz w:val="28"/>
            <w:szCs w:val="28"/>
          </w:rPr>
          <w:t>3,0</w:t>
        </w:r>
        <w:r w:rsidRPr="0007397A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Найбільш негативні наслідки осідання земної поверхні відмічені в межах </w:t>
      </w:r>
      <w:r w:rsidRPr="003B1D35">
        <w:rPr>
          <w:rFonts w:ascii="Times New Roman" w:hAnsi="Times New Roman"/>
          <w:sz w:val="28"/>
          <w:szCs w:val="28"/>
        </w:rPr>
        <w:t>промислово-міських</w:t>
      </w:r>
      <w:r>
        <w:rPr>
          <w:rFonts w:ascii="Times New Roman" w:hAnsi="Times New Roman"/>
          <w:sz w:val="28"/>
          <w:szCs w:val="28"/>
        </w:rPr>
        <w:t xml:space="preserve"> агломерацій, переважно у місцях проходження шахтних </w:t>
      </w:r>
      <w:r w:rsidRPr="003B1D35">
        <w:rPr>
          <w:rFonts w:ascii="Times New Roman" w:hAnsi="Times New Roman"/>
          <w:sz w:val="28"/>
          <w:szCs w:val="28"/>
        </w:rPr>
        <w:t>виробок</w:t>
      </w:r>
      <w:r>
        <w:rPr>
          <w:rFonts w:ascii="Times New Roman" w:hAnsi="Times New Roman"/>
          <w:sz w:val="28"/>
          <w:szCs w:val="28"/>
        </w:rPr>
        <w:t xml:space="preserve"> під забудованими територіями.  У зонах таких підробок знаходяться практично усі населені пункти Червоноградської територіальної громади. </w:t>
      </w:r>
    </w:p>
    <w:p w:rsidR="00426D3B" w:rsidRDefault="00426D3B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Найбільші площі підтоплення також пов’язані з проведенням гірничодобувних робіт у Львівсько-Волинському басейні. У межах Червоноградської територіальної громади підтоплення найбільше проявилося у центральній частині Червоноградського гірничопромислового району, де зосереджена більшість промислових об’єктів і лінійних комунікацій. Підтопленою є, зокрема, території м.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Червонограда, м. Соснівка, смт. Гірник, с. Бендюга, с.</w:t>
      </w:r>
      <w:r w:rsidRPr="0057321A">
        <w:t xml:space="preserve"> </w:t>
      </w:r>
      <w:r w:rsidRPr="0057321A">
        <w:rPr>
          <w:rFonts w:ascii="Times New Roman" w:hAnsi="Times New Roman"/>
          <w:sz w:val="28"/>
          <w:szCs w:val="28"/>
        </w:rPr>
        <w:t>Межиріччя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Атмосферне повітря</w:t>
      </w:r>
      <w:r w:rsidRPr="00FD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D7949">
        <w:rPr>
          <w:rFonts w:ascii="Times New Roman" w:hAnsi="Times New Roman"/>
          <w:sz w:val="28"/>
          <w:szCs w:val="28"/>
        </w:rPr>
        <w:t>одатково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949">
        <w:rPr>
          <w:rFonts w:ascii="Times New Roman" w:hAnsi="Times New Roman"/>
          <w:sz w:val="28"/>
          <w:szCs w:val="28"/>
        </w:rPr>
        <w:t>забруднюється пересувними джерелами викидів – відпрацьованими газами автомобілів, що є одним з основних забруднювачів приземного шару атмосфери. Автотранспорт викидає в атмосферне повітря пил, окис вуглецю, оксид азоту, нафтопродукти, мастила.</w:t>
      </w:r>
    </w:p>
    <w:p w:rsidR="00426D3B" w:rsidRDefault="00426D3B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Радіаційне забруднення атмосферного повітря</w:t>
      </w:r>
      <w:r>
        <w:rPr>
          <w:rFonts w:ascii="Times New Roman" w:hAnsi="Times New Roman"/>
          <w:sz w:val="28"/>
          <w:szCs w:val="28"/>
        </w:rPr>
        <w:t xml:space="preserve"> не зафіксовано.</w:t>
      </w:r>
    </w:p>
    <w:p w:rsidR="00426D3B" w:rsidRDefault="00426D3B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До основних джерел шуму на території м. Червоноград належать: залізничний та автомобільний транспорт, трансформаторні підстанції.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Всі підстанції розташовані переважно в промислових зонах, віддалено від кварталів житлової і громадської забудови міста. Однак, в шумові зони від них попадають ділянки садівничих товариств.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За даними Червоноградського районного відділу ДУ "Львівський обласний центр контролю та профілактики МОЗ України" всі об’єкти</w:t>
      </w:r>
      <w:r w:rsidRPr="00FD7949">
        <w:t xml:space="preserve"> </w:t>
      </w:r>
      <w:r w:rsidRPr="00FD7949">
        <w:rPr>
          <w:rFonts w:ascii="Times New Roman" w:hAnsi="Times New Roman"/>
          <w:sz w:val="28"/>
          <w:szCs w:val="28"/>
        </w:rPr>
        <w:t>електромагнітного випромінювання (</w:t>
      </w:r>
      <w:r>
        <w:rPr>
          <w:rFonts w:ascii="Times New Roman" w:hAnsi="Times New Roman"/>
          <w:sz w:val="28"/>
          <w:szCs w:val="28"/>
        </w:rPr>
        <w:t>базові станції операторів зв’язку</w:t>
      </w:r>
      <w:r w:rsidRPr="00FD7949">
        <w:rPr>
          <w:rFonts w:ascii="Times New Roman" w:hAnsi="Times New Roman"/>
          <w:sz w:val="28"/>
          <w:szCs w:val="28"/>
        </w:rPr>
        <w:t xml:space="preserve">) відносяться до таких, що не впливають на населення.  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При розміщенні кожного джерела електромагнітного випромінювання зони їх шкідливого випромінювання погоджуються у встановленому порядку і не впливають на прилеглі території.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Поверхневі води на даний час продовжують належати до числа забруднених природних ресурсів. Основним видом впливу на водні об’єкти є водоспоживання та водовідведення.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На екологічний стан поверхневих та підземних вод впливають різноманітні взаємопов’язані фактори, – це забруднення ґрунтів, атмосфери, зміна ландшафтної структури та техногенне навантаження на територію.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Дія гірничодобувного виробництва на водний басейн виявляється в зміні водного режиму, забруднення шахтними водами та інфільтратами породних відвалів. Шахтні води формуються за рахунок підземних і поверхневих вод, що проникають у гірничі виробки. Стікаючи по виробленому простору, вони забруднюються бактеріями, різними домішками і розчинними хімічними речовинами. Шахтами постійно відкачуються великі обсяги шахтних вод на очисні споруди.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344">
        <w:rPr>
          <w:rFonts w:ascii="Times New Roman" w:hAnsi="Times New Roman"/>
          <w:sz w:val="28"/>
          <w:szCs w:val="28"/>
        </w:rPr>
        <w:t>Принцип роботи очисних споруд шахт оснований на природній очистці – промислові стічні води відстоюються у водозбірниках, після чого спускаються у водостоки</w:t>
      </w:r>
      <w:r>
        <w:rPr>
          <w:rFonts w:ascii="Times New Roman" w:hAnsi="Times New Roman"/>
          <w:sz w:val="28"/>
          <w:szCs w:val="28"/>
        </w:rPr>
        <w:t>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Вода у річках району забруднена переважно речовинами органічного походження та продуктами їх р</w:t>
      </w:r>
      <w:r>
        <w:rPr>
          <w:rFonts w:ascii="Times New Roman" w:hAnsi="Times New Roman"/>
          <w:sz w:val="28"/>
          <w:szCs w:val="28"/>
        </w:rPr>
        <w:t xml:space="preserve">озпаду, що спричинено веденням </w:t>
      </w:r>
      <w:r w:rsidRPr="007A4344">
        <w:rPr>
          <w:rFonts w:ascii="Times New Roman" w:hAnsi="Times New Roman"/>
          <w:sz w:val="28"/>
          <w:szCs w:val="28"/>
        </w:rPr>
        <w:t>господарства на території водозборів річок та скиданням недостатньо очищених зворотних вод.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Згідно даних головного управління Держпродспоживслужби у Львівській області згідно результатів та протоколів досліджень ДУ “Львівський обласний лабораторний центр МОЗ України” вода питна водопровідна м. Червоноград відповідає НТД, гігієнічним нормативам відповідно дозволу.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Інженерно-геологічні умови м. Червонограда характеризуються:</w:t>
      </w:r>
    </w:p>
    <w:p w:rsidR="00426D3B" w:rsidRDefault="00426D3B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підроблюваністю території вуглевидобувними підприємствами (шахтами);  </w:t>
      </w:r>
    </w:p>
    <w:p w:rsidR="00426D3B" w:rsidRDefault="00426D3B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наявністю на значній території міста насипних неоднорідних ґрунтів (шахтних і будівельних відходів потужністю до 3 м); </w:t>
      </w:r>
    </w:p>
    <w:p w:rsidR="00426D3B" w:rsidRDefault="00426D3B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наявністю в розрізі слабо за торфованих ґрунтів потужністю до 6 м; </w:t>
      </w:r>
    </w:p>
    <w:p w:rsidR="00426D3B" w:rsidRDefault="00426D3B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заболоченістю понижених ділянок першої надзаплавної і заплавної терас річки Західний Буг;</w:t>
      </w:r>
    </w:p>
    <w:p w:rsidR="00426D3B" w:rsidRDefault="00426D3B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можливістю затоплення паводковими водами 1%-</w:t>
      </w:r>
      <w:r>
        <w:rPr>
          <w:rFonts w:ascii="Times New Roman" w:hAnsi="Times New Roman"/>
          <w:sz w:val="28"/>
          <w:szCs w:val="28"/>
        </w:rPr>
        <w:t xml:space="preserve"> забезпечен</w:t>
      </w:r>
      <w:r w:rsidRPr="007A4344">
        <w:rPr>
          <w:rFonts w:ascii="Times New Roman" w:hAnsi="Times New Roman"/>
          <w:sz w:val="28"/>
          <w:szCs w:val="28"/>
        </w:rPr>
        <w:t>ості окремих понижених ділянок в західній, північно-східній та південній частинах міста.</w:t>
      </w:r>
    </w:p>
    <w:p w:rsidR="00426D3B" w:rsidRDefault="00426D3B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Джерелом забруднення ґрунтів і ґрунтових </w:t>
      </w:r>
      <w:r>
        <w:rPr>
          <w:rFonts w:ascii="Times New Roman" w:hAnsi="Times New Roman"/>
          <w:sz w:val="28"/>
          <w:szCs w:val="28"/>
        </w:rPr>
        <w:t xml:space="preserve">вод і прилеглої території </w:t>
      </w:r>
      <w:r w:rsidRPr="007A4344">
        <w:rPr>
          <w:rFonts w:ascii="Times New Roman" w:hAnsi="Times New Roman"/>
          <w:sz w:val="28"/>
          <w:szCs w:val="28"/>
        </w:rPr>
        <w:t xml:space="preserve">є: </w:t>
      </w:r>
    </w:p>
    <w:p w:rsidR="00426D3B" w:rsidRDefault="00426D3B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породні відвали шахт – терикони, які накопичуються в процесі виробничої діяльності і займають значні площі на території шахт; </w:t>
      </w:r>
    </w:p>
    <w:p w:rsidR="00426D3B" w:rsidRDefault="00426D3B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ставки - накопичувачі, відстійники і хвостосховища;</w:t>
      </w:r>
    </w:p>
    <w:p w:rsidR="00426D3B" w:rsidRDefault="00426D3B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просадка земної поверхні на підроблюваних територіях, що приводить до штучного обводнення понижень і заболоченості;</w:t>
      </w:r>
    </w:p>
    <w:p w:rsidR="00426D3B" w:rsidRDefault="00426D3B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забруднення придорожні</w:t>
      </w:r>
      <w:r w:rsidRPr="007A4344">
        <w:rPr>
          <w:rFonts w:ascii="Times New Roman" w:hAnsi="Times New Roman"/>
          <w:sz w:val="28"/>
          <w:szCs w:val="28"/>
        </w:rPr>
        <w:t>х смуг важкими металами;</w:t>
      </w:r>
    </w:p>
    <w:p w:rsidR="00426D3B" w:rsidRPr="007A4344" w:rsidRDefault="00426D3B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забруднення ґрунтів каналізаційними стоками, оскільки експлуатаційна зношеність мереж призводить до поривів і витікання стоків.</w:t>
      </w:r>
    </w:p>
    <w:p w:rsidR="00426D3B" w:rsidRDefault="00426D3B" w:rsidP="00914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ABC">
        <w:rPr>
          <w:rFonts w:ascii="Times New Roman" w:hAnsi="Times New Roman"/>
          <w:sz w:val="28"/>
          <w:szCs w:val="28"/>
        </w:rPr>
        <w:t xml:space="preserve">В </w:t>
      </w:r>
      <w:r w:rsidRPr="006D48D5">
        <w:rPr>
          <w:rFonts w:ascii="Times New Roman" w:hAnsi="Times New Roman"/>
          <w:sz w:val="28"/>
          <w:szCs w:val="28"/>
        </w:rPr>
        <w:t>Червоноградській територіальній  громаді</w:t>
      </w:r>
      <w:r w:rsidRPr="00914ABC">
        <w:rPr>
          <w:rFonts w:ascii="Times New Roman" w:hAnsi="Times New Roman"/>
          <w:sz w:val="28"/>
          <w:szCs w:val="28"/>
        </w:rPr>
        <w:t xml:space="preserve"> переважають хвороби органів дихання, </w:t>
      </w:r>
      <w:r>
        <w:rPr>
          <w:rFonts w:ascii="Times New Roman" w:hAnsi="Times New Roman"/>
          <w:sz w:val="28"/>
          <w:szCs w:val="28"/>
        </w:rPr>
        <w:t xml:space="preserve">а також є серцево-судинні захворювання, що випливають із-за </w:t>
      </w:r>
      <w:r w:rsidRPr="00914ABC">
        <w:rPr>
          <w:rFonts w:ascii="Times New Roman" w:hAnsi="Times New Roman"/>
          <w:sz w:val="28"/>
          <w:szCs w:val="28"/>
        </w:rPr>
        <w:t>неправильного способу життя: нераціонального харчування, стресів, пал</w:t>
      </w:r>
      <w:r>
        <w:rPr>
          <w:rFonts w:ascii="Times New Roman" w:hAnsi="Times New Roman"/>
          <w:sz w:val="28"/>
          <w:szCs w:val="28"/>
        </w:rPr>
        <w:t>і</w:t>
      </w:r>
      <w:r w:rsidRPr="00914ABC">
        <w:rPr>
          <w:rFonts w:ascii="Times New Roman" w:hAnsi="Times New Roman"/>
          <w:sz w:val="28"/>
          <w:szCs w:val="28"/>
        </w:rPr>
        <w:t>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BC">
        <w:rPr>
          <w:rFonts w:ascii="Times New Roman" w:hAnsi="Times New Roman"/>
          <w:sz w:val="28"/>
          <w:szCs w:val="28"/>
        </w:rPr>
        <w:t>зловживання алкоголю, низько</w:t>
      </w:r>
      <w:r>
        <w:rPr>
          <w:rFonts w:ascii="Times New Roman" w:hAnsi="Times New Roman"/>
          <w:sz w:val="28"/>
          <w:szCs w:val="28"/>
        </w:rPr>
        <w:t>ї фізичної активності. Т</w:t>
      </w:r>
      <w:r w:rsidRPr="00914ABC">
        <w:rPr>
          <w:rFonts w:ascii="Times New Roman" w:hAnsi="Times New Roman"/>
          <w:sz w:val="28"/>
          <w:szCs w:val="28"/>
        </w:rPr>
        <w:t>акож з</w:t>
      </w:r>
      <w:r>
        <w:rPr>
          <w:rFonts w:ascii="Times New Roman" w:hAnsi="Times New Roman"/>
          <w:sz w:val="28"/>
          <w:szCs w:val="28"/>
        </w:rPr>
        <w:t>бі</w:t>
      </w:r>
      <w:r w:rsidRPr="00914ABC">
        <w:rPr>
          <w:rFonts w:ascii="Times New Roman" w:hAnsi="Times New Roman"/>
          <w:sz w:val="28"/>
          <w:szCs w:val="28"/>
        </w:rPr>
        <w:t>льшується кількість</w:t>
      </w:r>
      <w:r>
        <w:rPr>
          <w:rFonts w:ascii="Times New Roman" w:hAnsi="Times New Roman"/>
          <w:sz w:val="28"/>
          <w:szCs w:val="28"/>
        </w:rPr>
        <w:t xml:space="preserve"> онкохворих, що залежить від спадковості, нездорового способу життя, </w:t>
      </w:r>
      <w:r w:rsidRPr="00914ABC">
        <w:rPr>
          <w:rFonts w:ascii="Times New Roman" w:hAnsi="Times New Roman"/>
          <w:sz w:val="28"/>
          <w:szCs w:val="28"/>
        </w:rPr>
        <w:t>ультрафіолетового та сонячного випромінювання тощо. В цілому, стан здоров'я населення громади задовільний.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6D3B" w:rsidRPr="00B1270A" w:rsidRDefault="00426D3B" w:rsidP="00B12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Реалізовані проектні рішення містобудівної документації відповідають державними будівельним правилам. Містобудівна документація </w:t>
      </w:r>
      <w:r w:rsidRPr="00914ABC">
        <w:rPr>
          <w:rFonts w:ascii="Times New Roman" w:hAnsi="Times New Roman"/>
          <w:sz w:val="28"/>
          <w:szCs w:val="28"/>
        </w:rPr>
        <w:t>розроблен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14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914ABC">
        <w:rPr>
          <w:rFonts w:ascii="Times New Roman" w:hAnsi="Times New Roman"/>
          <w:sz w:val="28"/>
          <w:szCs w:val="28"/>
        </w:rPr>
        <w:t>врахуванням громадського обговорення (в тому числі розроблені звіти про</w:t>
      </w:r>
      <w:r>
        <w:rPr>
          <w:rFonts w:ascii="Times New Roman" w:hAnsi="Times New Roman"/>
          <w:sz w:val="28"/>
          <w:szCs w:val="28"/>
        </w:rPr>
        <w:t xml:space="preserve"> стратегічну екологічну оцінку).</w:t>
      </w:r>
    </w:p>
    <w:p w:rsidR="00426D3B" w:rsidRDefault="00426D3B" w:rsidP="0072393C">
      <w:pPr>
        <w:pStyle w:val="ListParagraph"/>
        <w:spacing w:before="240"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Розділ 3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 «Моніторинг використання землі»</w:t>
      </w:r>
    </w:p>
    <w:p w:rsidR="00426D3B" w:rsidRPr="00182690" w:rsidRDefault="00426D3B" w:rsidP="00247B43">
      <w:pPr>
        <w:pStyle w:val="ListParagraph"/>
        <w:spacing w:before="120" w:after="0" w:line="240" w:lineRule="auto"/>
        <w:ind w:left="9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Динаміка змін земельного фонду Червоноградської територіальної громади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418"/>
        <w:gridCol w:w="1417"/>
        <w:gridCol w:w="992"/>
        <w:gridCol w:w="993"/>
        <w:gridCol w:w="850"/>
        <w:gridCol w:w="851"/>
      </w:tblGrid>
      <w:tr w:rsidR="00426D3B" w:rsidRPr="001038D5" w:rsidTr="00764747">
        <w:trPr>
          <w:trHeight w:val="180"/>
        </w:trPr>
        <w:tc>
          <w:tcPr>
            <w:tcW w:w="3544" w:type="dxa"/>
            <w:vMerge w:val="restart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Категорія земель</w:t>
            </w:r>
          </w:p>
        </w:tc>
        <w:tc>
          <w:tcPr>
            <w:tcW w:w="1418" w:type="dxa"/>
            <w:vMerge w:val="restart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Площа земель на 01.01.2021, га</w:t>
            </w:r>
          </w:p>
        </w:tc>
        <w:tc>
          <w:tcPr>
            <w:tcW w:w="1417" w:type="dxa"/>
            <w:vMerge w:val="restart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Площа земель на 01.01.2023, га</w:t>
            </w:r>
          </w:p>
        </w:tc>
        <w:tc>
          <w:tcPr>
            <w:tcW w:w="992" w:type="dxa"/>
            <w:vMerge w:val="restart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В % на 2021 рік</w:t>
            </w:r>
          </w:p>
        </w:tc>
        <w:tc>
          <w:tcPr>
            <w:tcW w:w="993" w:type="dxa"/>
            <w:vMerge w:val="restart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В % на 2023 рік</w:t>
            </w:r>
          </w:p>
        </w:tc>
        <w:tc>
          <w:tcPr>
            <w:tcW w:w="1701" w:type="dxa"/>
            <w:gridSpan w:val="2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Динаміка</w:t>
            </w:r>
          </w:p>
        </w:tc>
      </w:tr>
      <w:tr w:rsidR="00426D3B" w:rsidRPr="001038D5" w:rsidTr="00764747">
        <w:trPr>
          <w:trHeight w:val="90"/>
        </w:trPr>
        <w:tc>
          <w:tcPr>
            <w:tcW w:w="3544" w:type="dxa"/>
            <w:vMerge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тис. га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Землі сільськогосподарського призначення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11383,40</w:t>
            </w:r>
          </w:p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11304,46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49,89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49,55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- 0,08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-0,34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Землі житлової забудови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1556,96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1618,74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7,09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Землі лісогосподарського призначення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6533,59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6533,59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28,64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28,64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1568,86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1686,87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6,88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Землі водного фонду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340,96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341,08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Землі рекреаційного призначення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40,79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40,79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Інші землі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1391,27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1390,30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- 0,01</w:t>
            </w: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D3B" w:rsidRPr="001038D5" w:rsidTr="00764747">
        <w:tc>
          <w:tcPr>
            <w:tcW w:w="3544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D5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418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22815,83</w:t>
            </w:r>
          </w:p>
        </w:tc>
        <w:tc>
          <w:tcPr>
            <w:tcW w:w="1417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22815,83</w:t>
            </w:r>
          </w:p>
        </w:tc>
        <w:tc>
          <w:tcPr>
            <w:tcW w:w="992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26D3B" w:rsidRPr="001038D5" w:rsidRDefault="00426D3B" w:rsidP="00764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8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6D3B" w:rsidRPr="001038D5" w:rsidRDefault="00426D3B" w:rsidP="0076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6D3B" w:rsidRDefault="00426D3B" w:rsidP="00791542">
      <w:pPr>
        <w:spacing w:before="24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5458">
        <w:rPr>
          <w:rFonts w:ascii="Times New Roman" w:hAnsi="Times New Roman"/>
          <w:color w:val="000000"/>
          <w:sz w:val="28"/>
          <w:szCs w:val="28"/>
        </w:rPr>
        <w:t>Додаткові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5458">
        <w:rPr>
          <w:rFonts w:ascii="Times New Roman" w:hAnsi="Times New Roman"/>
          <w:color w:val="000000"/>
          <w:sz w:val="28"/>
          <w:szCs w:val="28"/>
        </w:rPr>
        <w:t>потреби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5458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5458">
        <w:rPr>
          <w:rFonts w:ascii="Times New Roman" w:hAnsi="Times New Roman"/>
          <w:color w:val="000000"/>
          <w:sz w:val="28"/>
          <w:szCs w:val="28"/>
        </w:rPr>
        <w:t>територіях  різного  функціонального призначення на даний час не визначено, так як наявні території з різними функціональними призначеннями, які не використовуються та не надані у власність та/або в користування.</w:t>
      </w:r>
    </w:p>
    <w:p w:rsidR="00426D3B" w:rsidRDefault="00426D3B" w:rsidP="006B03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2022р. у власність подано шість земельних ділянок, а саме:</w:t>
      </w:r>
    </w:p>
    <w:p w:rsidR="00426D3B" w:rsidRDefault="00426D3B" w:rsidP="006B03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будівництва індивідуальних гаражів</w:t>
      </w:r>
      <w:r w:rsidRPr="00CA15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(0,03 га);</w:t>
      </w:r>
    </w:p>
    <w:p w:rsidR="00426D3B" w:rsidRDefault="00426D3B" w:rsidP="00E0643D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 будівництва та обслуговування будівель торгівлі (0,0026 га);</w:t>
      </w:r>
    </w:p>
    <w:p w:rsidR="00426D3B" w:rsidRDefault="00426D3B" w:rsidP="00A22003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A15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(0,0198 га);</w:t>
      </w:r>
    </w:p>
    <w:p w:rsidR="00426D3B" w:rsidRPr="00A22003" w:rsidRDefault="00426D3B" w:rsidP="005B50F3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</w:t>
      </w:r>
      <w:r w:rsidRPr="005B50F3">
        <w:rPr>
          <w:rFonts w:ascii="Times New Roman" w:hAnsi="Times New Roman"/>
          <w:color w:val="000000"/>
          <w:sz w:val="28"/>
          <w:szCs w:val="28"/>
        </w:rPr>
        <w:t>постачання пари та гарячої води, збирання, очищення та розподілення води)</w:t>
      </w:r>
      <w:r w:rsidRPr="00CA15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(0,0572 га);</w:t>
      </w:r>
    </w:p>
    <w:p w:rsidR="00426D3B" w:rsidRDefault="00426D3B" w:rsidP="002C00F8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2C00F8">
        <w:rPr>
          <w:rFonts w:ascii="Times New Roman" w:hAnsi="Times New Roman"/>
          <w:color w:val="000000"/>
          <w:sz w:val="28"/>
          <w:szCs w:val="28"/>
        </w:rPr>
        <w:t>ля розміщення та експлуатації будівель і споруд автомобільного транспорту та дорожнього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0F8">
        <w:rPr>
          <w:rFonts w:ascii="Times New Roman" w:hAnsi="Times New Roman"/>
          <w:color w:val="000000"/>
          <w:sz w:val="28"/>
          <w:szCs w:val="28"/>
        </w:rPr>
        <w:t>господарства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(0,8936 га)</w:t>
      </w:r>
      <w:r w:rsidRPr="002C00F8"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Default="00426D3B" w:rsidP="006B03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2C00F8">
        <w:rPr>
          <w:rFonts w:ascii="Times New Roman" w:hAnsi="Times New Roman"/>
          <w:color w:val="000000"/>
          <w:sz w:val="28"/>
          <w:szCs w:val="28"/>
        </w:rPr>
        <w:t>ля розміщення та експлуатації об'єктів дорожнього сервісу</w:t>
      </w:r>
      <w:r w:rsidRPr="00CA15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(0,3180 га).</w:t>
      </w:r>
    </w:p>
    <w:p w:rsidR="00426D3B" w:rsidRPr="00373580" w:rsidRDefault="00426D3B" w:rsidP="006B03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3580">
        <w:rPr>
          <w:rFonts w:ascii="Times New Roman" w:hAnsi="Times New Roman"/>
          <w:color w:val="000000"/>
          <w:sz w:val="28"/>
          <w:szCs w:val="28"/>
        </w:rPr>
        <w:t>Також, надано в оренду чотирнадцять земельних ділянок шляхом проведення земельних аукціонів, а саме:</w:t>
      </w:r>
    </w:p>
    <w:p w:rsidR="00426D3B" w:rsidRDefault="00426D3B" w:rsidP="006B03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D374F1">
        <w:rPr>
          <w:rFonts w:ascii="Times New Roman" w:hAnsi="Times New Roman"/>
          <w:color w:val="000000"/>
          <w:sz w:val="28"/>
          <w:szCs w:val="28"/>
        </w:rPr>
        <w:t>ля будівництва і обслуговування паркінгів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4F1">
        <w:rPr>
          <w:rFonts w:ascii="Times New Roman" w:hAnsi="Times New Roman"/>
          <w:color w:val="000000"/>
          <w:sz w:val="28"/>
          <w:szCs w:val="28"/>
        </w:rPr>
        <w:t>автостоянок на землях житлової та громадської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4F1">
        <w:rPr>
          <w:rFonts w:ascii="Times New Roman" w:hAnsi="Times New Roman"/>
          <w:color w:val="000000"/>
          <w:sz w:val="28"/>
          <w:szCs w:val="28"/>
        </w:rPr>
        <w:t>забудови</w:t>
      </w:r>
      <w:r>
        <w:rPr>
          <w:rFonts w:ascii="Times New Roman" w:hAnsi="Times New Roman"/>
          <w:color w:val="000000"/>
          <w:sz w:val="28"/>
          <w:szCs w:val="28"/>
        </w:rPr>
        <w:t xml:space="preserve"> (0,0360 га);</w:t>
      </w:r>
    </w:p>
    <w:p w:rsidR="00426D3B" w:rsidRDefault="00426D3B" w:rsidP="00D374F1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D374F1">
        <w:rPr>
          <w:rFonts w:ascii="Times New Roman" w:hAnsi="Times New Roman"/>
          <w:color w:val="000000"/>
          <w:sz w:val="28"/>
          <w:szCs w:val="28"/>
        </w:rPr>
        <w:t>ля будівництва і обслуговування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4F1">
        <w:rPr>
          <w:rFonts w:ascii="Times New Roman" w:hAnsi="Times New Roman"/>
          <w:color w:val="000000"/>
          <w:sz w:val="28"/>
          <w:szCs w:val="28"/>
        </w:rPr>
        <w:t>бага</w:t>
      </w:r>
      <w:r>
        <w:rPr>
          <w:rFonts w:ascii="Times New Roman" w:hAnsi="Times New Roman"/>
          <w:color w:val="000000"/>
          <w:sz w:val="28"/>
          <w:szCs w:val="28"/>
        </w:rPr>
        <w:t xml:space="preserve">токвартирного житлового будинку </w:t>
      </w:r>
      <w:r w:rsidRPr="00D374F1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4F1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’є</w:t>
      </w:r>
      <w:r w:rsidRPr="00D374F1">
        <w:rPr>
          <w:rFonts w:ascii="Times New Roman" w:hAnsi="Times New Roman"/>
          <w:color w:val="000000"/>
          <w:sz w:val="28"/>
          <w:szCs w:val="28"/>
        </w:rPr>
        <w:t>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4F1">
        <w:rPr>
          <w:rFonts w:ascii="Times New Roman" w:hAnsi="Times New Roman"/>
          <w:color w:val="000000"/>
          <w:sz w:val="28"/>
          <w:szCs w:val="28"/>
        </w:rPr>
        <w:t>торгово-розважальної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4F1">
        <w:rPr>
          <w:rFonts w:ascii="Times New Roman" w:hAnsi="Times New Roman"/>
          <w:color w:val="000000"/>
          <w:sz w:val="28"/>
          <w:szCs w:val="28"/>
        </w:rPr>
        <w:t>ринкової інфраструктури</w:t>
      </w:r>
      <w:r>
        <w:rPr>
          <w:rFonts w:ascii="Times New Roman" w:hAnsi="Times New Roman"/>
          <w:color w:val="000000"/>
          <w:sz w:val="28"/>
          <w:szCs w:val="28"/>
        </w:rPr>
        <w:t xml:space="preserve"> (2,2756 га);</w:t>
      </w:r>
    </w:p>
    <w:p w:rsidR="00426D3B" w:rsidRDefault="00426D3B" w:rsidP="00D374F1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D374F1">
        <w:rPr>
          <w:rFonts w:ascii="Times New Roman" w:hAnsi="Times New Roman"/>
          <w:color w:val="000000"/>
          <w:sz w:val="28"/>
          <w:szCs w:val="28"/>
        </w:rPr>
        <w:t>ля будівництва та обслуговування будівель торгівлі</w:t>
      </w:r>
      <w:r>
        <w:rPr>
          <w:rFonts w:ascii="Times New Roman" w:hAnsi="Times New Roman"/>
          <w:color w:val="000000"/>
          <w:sz w:val="28"/>
          <w:szCs w:val="28"/>
        </w:rPr>
        <w:t xml:space="preserve"> (0,8842 га);</w:t>
      </w:r>
    </w:p>
    <w:p w:rsidR="00426D3B" w:rsidRDefault="00426D3B" w:rsidP="00A25DEC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A25DEC">
        <w:rPr>
          <w:rFonts w:ascii="Times New Roman" w:hAnsi="Times New Roman"/>
          <w:color w:val="000000"/>
          <w:sz w:val="28"/>
          <w:szCs w:val="28"/>
        </w:rPr>
        <w:t>ля культурно-оздоровчих потреб, рекреаційних, спортивних і туристичних цілей</w:t>
      </w:r>
      <w:r>
        <w:rPr>
          <w:rFonts w:ascii="Times New Roman" w:hAnsi="Times New Roman"/>
          <w:color w:val="000000"/>
          <w:sz w:val="28"/>
          <w:szCs w:val="28"/>
        </w:rPr>
        <w:t xml:space="preserve"> (0,4308 га);</w:t>
      </w:r>
    </w:p>
    <w:p w:rsidR="00426D3B" w:rsidRDefault="00426D3B" w:rsidP="00A25DEC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A25DEC">
        <w:rPr>
          <w:rFonts w:ascii="Times New Roman" w:hAnsi="Times New Roman"/>
          <w:color w:val="000000"/>
          <w:sz w:val="28"/>
          <w:szCs w:val="28"/>
        </w:rPr>
        <w:t>ля розміщення та експлуатації основних,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25DEC">
        <w:rPr>
          <w:rFonts w:ascii="Times New Roman" w:hAnsi="Times New Roman"/>
          <w:color w:val="000000"/>
          <w:sz w:val="28"/>
          <w:szCs w:val="28"/>
        </w:rPr>
        <w:t>підсобних і допоміжних будівель та споруд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DEC">
        <w:rPr>
          <w:rFonts w:ascii="Times New Roman" w:hAnsi="Times New Roman"/>
          <w:color w:val="000000"/>
          <w:sz w:val="28"/>
          <w:szCs w:val="28"/>
        </w:rPr>
        <w:t>підприємств переробної, машинобудівної та іншої промисловості</w:t>
      </w:r>
      <w:r>
        <w:rPr>
          <w:rFonts w:ascii="Times New Roman" w:hAnsi="Times New Roman"/>
          <w:color w:val="000000"/>
          <w:sz w:val="28"/>
          <w:szCs w:val="28"/>
        </w:rPr>
        <w:t xml:space="preserve"> (4,2514 га);</w:t>
      </w:r>
    </w:p>
    <w:p w:rsidR="00426D3B" w:rsidRDefault="00426D3B" w:rsidP="006B03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A25DEC">
        <w:rPr>
          <w:rFonts w:ascii="Times New Roman" w:hAnsi="Times New Roman"/>
          <w:color w:val="000000"/>
          <w:sz w:val="28"/>
          <w:szCs w:val="28"/>
        </w:rPr>
        <w:t>ля розміщення та експлуатації об'єктів дорожнього сервісу</w:t>
      </w:r>
      <w:r w:rsidRPr="00CA15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(0,1308 га).</w:t>
      </w:r>
    </w:p>
    <w:p w:rsidR="00426D3B" w:rsidRPr="006D48D5" w:rsidRDefault="00426D3B" w:rsidP="006B03B8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Відведені земельні ділянки відповідають містобудівній документації.</w:t>
      </w:r>
    </w:p>
    <w:p w:rsidR="00426D3B" w:rsidRPr="0072393C" w:rsidRDefault="00426D3B" w:rsidP="0072393C">
      <w:pPr>
        <w:pStyle w:val="ListParagraph"/>
        <w:spacing w:before="240"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4.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забудови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bCs w:val="0"/>
          <w:sz w:val="28"/>
          <w:szCs w:val="28"/>
        </w:rPr>
      </w:pPr>
      <w:r w:rsidRPr="00346978">
        <w:rPr>
          <w:b w:val="0"/>
          <w:bCs w:val="0"/>
          <w:sz w:val="28"/>
          <w:szCs w:val="28"/>
        </w:rPr>
        <w:t xml:space="preserve">На виконання Закону України "Про внесення змін до деяких законодавчих актів щодо удосконалення порядку надання адміністративних послуг у сфері будівництва та створення   </w:t>
      </w:r>
      <w:hyperlink r:id="rId6" w:tgtFrame="_blank" w:history="1">
        <w:r w:rsidRPr="00346978">
          <w:rPr>
            <w:b w:val="0"/>
            <w:bCs w:val="0"/>
            <w:sz w:val="28"/>
            <w:szCs w:val="28"/>
          </w:rPr>
          <w:t>Єдиної</w:t>
        </w:r>
      </w:hyperlink>
      <w:r w:rsidRPr="00346978">
        <w:rPr>
          <w:b w:val="0"/>
          <w:bCs w:val="0"/>
          <w:sz w:val="28"/>
          <w:szCs w:val="28"/>
        </w:rPr>
        <w:t xml:space="preserve">  </w:t>
      </w:r>
      <w:hyperlink r:id="rId7" w:tgtFrame="_blank" w:history="1">
        <w:r w:rsidRPr="00346978">
          <w:rPr>
            <w:b w:val="0"/>
            <w:bCs w:val="0"/>
            <w:sz w:val="28"/>
            <w:szCs w:val="28"/>
          </w:rPr>
          <w:t>держ</w:t>
        </w:r>
      </w:hyperlink>
      <w:hyperlink r:id="rId8" w:tgtFrame="_blank" w:history="1">
        <w:r w:rsidRPr="00346978">
          <w:rPr>
            <w:b w:val="0"/>
            <w:bCs w:val="0"/>
            <w:sz w:val="28"/>
            <w:szCs w:val="28"/>
          </w:rPr>
          <w:t>авної</w:t>
        </w:r>
      </w:hyperlink>
      <w:r w:rsidRPr="00346978">
        <w:rPr>
          <w:b w:val="0"/>
          <w:bCs w:val="0"/>
          <w:sz w:val="28"/>
          <w:szCs w:val="28"/>
        </w:rPr>
        <w:t xml:space="preserve"> </w:t>
      </w:r>
      <w:hyperlink r:id="rId9" w:tgtFrame="_blank" w:history="1">
        <w:r w:rsidRPr="00346978">
          <w:rPr>
            <w:b w:val="0"/>
            <w:bCs w:val="0"/>
            <w:sz w:val="28"/>
            <w:szCs w:val="28"/>
          </w:rPr>
          <w:t>електронної системи у сфері будівництва</w:t>
        </w:r>
      </w:hyperlink>
      <w:r w:rsidRPr="00346978">
        <w:rPr>
          <w:b w:val="0"/>
          <w:bCs w:val="0"/>
          <w:sz w:val="28"/>
          <w:szCs w:val="28"/>
        </w:rPr>
        <w:t>" забезпечено надання та реєстрацію містобудівних умов та обмежень для проектування об’єктів  будівництва, будівельних паспортів забудови земельної ділянки, адрес об'єктів нерухомого майна та об'єктів будівництва через Портал Єдиної державної електронної системи у сфері будівництва - загальнонаціональна інформаційна система, що покликана впорядкувати процес будівництва в Україні і через максимальну публічність інформації зробити його прозорим та відкритим</w:t>
      </w:r>
      <w:r w:rsidRPr="00346978">
        <w:rPr>
          <w:b w:val="0"/>
          <w:color w:val="3E3E3E"/>
          <w:sz w:val="28"/>
          <w:szCs w:val="28"/>
          <w:shd w:val="clear" w:color="auto" w:fill="FFFFFF"/>
        </w:rPr>
        <w:t xml:space="preserve"> </w:t>
      </w:r>
      <w:r w:rsidRPr="00346978">
        <w:rPr>
          <w:b w:val="0"/>
          <w:bCs w:val="0"/>
          <w:sz w:val="28"/>
          <w:szCs w:val="28"/>
        </w:rPr>
        <w:t xml:space="preserve">. 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 2022 рік</w:t>
      </w:r>
      <w:r w:rsidRPr="0034697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видано </w:t>
      </w:r>
      <w:r w:rsidRPr="00346978">
        <w:rPr>
          <w:b w:val="0"/>
          <w:bCs w:val="0"/>
          <w:sz w:val="28"/>
          <w:szCs w:val="28"/>
        </w:rPr>
        <w:t>37 містобудівних умов та обмежень для проектування об'єктів будівництва, 9 будівельних паспортів забудови земельної ділянки, 102 накази на присвоєння чи зміну адрес об'єктів</w:t>
      </w:r>
      <w:r>
        <w:rPr>
          <w:b w:val="0"/>
          <w:bCs w:val="0"/>
          <w:sz w:val="28"/>
          <w:szCs w:val="28"/>
        </w:rPr>
        <w:t xml:space="preserve"> будівництва та</w:t>
      </w:r>
      <w:r w:rsidRPr="00346978">
        <w:rPr>
          <w:b w:val="0"/>
          <w:bCs w:val="0"/>
          <w:sz w:val="28"/>
          <w:szCs w:val="28"/>
        </w:rPr>
        <w:t xml:space="preserve"> нерухомого майна.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bCs w:val="0"/>
          <w:sz w:val="28"/>
          <w:szCs w:val="28"/>
        </w:rPr>
      </w:pPr>
      <w:r w:rsidRPr="00346978">
        <w:rPr>
          <w:b w:val="0"/>
          <w:bCs w:val="0"/>
          <w:sz w:val="28"/>
          <w:szCs w:val="28"/>
        </w:rPr>
        <w:t xml:space="preserve">Зокрема, варто відмітити видачу містобудівних умов та обмежень на проектування таких об'єктів будівництва як  : 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346978">
        <w:rPr>
          <w:b w:val="0"/>
          <w:sz w:val="28"/>
          <w:szCs w:val="28"/>
        </w:rPr>
        <w:t>- нове будівництво багатоквартирного, чотирьохсекційного житлового будинку з вбудованими нежитловими приміщеннями на вулиці Івасюка, 1 в місті Червонограді ( заявник – ЖБК "Набережний квартал" );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346978">
        <w:rPr>
          <w:b w:val="0"/>
          <w:sz w:val="28"/>
          <w:szCs w:val="28"/>
        </w:rPr>
        <w:t xml:space="preserve">- нове будівництво магазину продовольчих та непродовольчих товарів в районі перетину вулиць Героїв Майдану та Клюсівської в місті Червонограді </w:t>
      </w:r>
      <w:r>
        <w:rPr>
          <w:b w:val="0"/>
          <w:sz w:val="28"/>
          <w:szCs w:val="28"/>
        </w:rPr>
        <w:t xml:space="preserve">            </w:t>
      </w:r>
      <w:r w:rsidRPr="00346978">
        <w:rPr>
          <w:b w:val="0"/>
          <w:sz w:val="28"/>
          <w:szCs w:val="28"/>
        </w:rPr>
        <w:t>( заявник – Чобанян Р.Г. );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346978">
        <w:rPr>
          <w:b w:val="0"/>
          <w:sz w:val="28"/>
          <w:szCs w:val="28"/>
        </w:rPr>
        <w:t>- нове будівництво багатофункційного торговельного центру на вулиці Корольова у місті Червонограді ( заявник – Корчак С.В. );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346978">
        <w:rPr>
          <w:b w:val="0"/>
          <w:sz w:val="28"/>
          <w:szCs w:val="28"/>
        </w:rPr>
        <w:t>- нове будівництво комплексу комерційно-виробничого призначення на вулиці Промислова в місті Червонограді ( заявник – ТзОВ "Компанія РІЕЛ-ЕСТЕЙТ-ГРУП" ).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shd w:val="clear" w:color="auto" w:fill="FFFFFF"/>
        </w:rPr>
      </w:pPr>
      <w:r w:rsidRPr="00346978">
        <w:rPr>
          <w:b w:val="0"/>
          <w:color w:val="000000"/>
          <w:sz w:val="28"/>
          <w:szCs w:val="28"/>
          <w:shd w:val="clear" w:color="auto" w:fill="FFFFFF"/>
        </w:rPr>
        <w:t>Зафункціонували введені в експлуатацію нові об'єкти архітектури :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shd w:val="clear" w:color="auto" w:fill="FFFFFF"/>
        </w:rPr>
      </w:pPr>
      <w:r w:rsidRPr="00346978">
        <w:rPr>
          <w:b w:val="0"/>
          <w:color w:val="000000"/>
          <w:sz w:val="28"/>
          <w:szCs w:val="28"/>
          <w:shd w:val="clear" w:color="auto" w:fill="FFFFFF"/>
        </w:rPr>
        <w:t>- багатофункціональний комплекс з рекреаційно-дитячими та торговими зонами, закладами громадського харчування та кінотеатром на вулиці Героїв Майдану, 10 в місті Червонограді ;</w:t>
      </w:r>
    </w:p>
    <w:p w:rsidR="00426D3B" w:rsidRPr="00346978" w:rsidRDefault="00426D3B" w:rsidP="00D03B08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shd w:val="clear" w:color="auto" w:fill="FFFFFF"/>
        </w:rPr>
      </w:pPr>
      <w:r w:rsidRPr="00346978">
        <w:rPr>
          <w:b w:val="0"/>
          <w:color w:val="000000"/>
          <w:sz w:val="28"/>
          <w:szCs w:val="28"/>
          <w:shd w:val="clear" w:color="auto" w:fill="FFFFFF"/>
        </w:rPr>
        <w:t>- мийка самообслуговування автомобілів та магазин в селі Сілець, присілок Гостинець, 69 ;</w:t>
      </w:r>
    </w:p>
    <w:p w:rsidR="00426D3B" w:rsidRDefault="00426D3B" w:rsidP="00D03B08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shd w:val="clear" w:color="auto" w:fill="FFFFFF"/>
        </w:rPr>
      </w:pPr>
      <w:r w:rsidRPr="00346978">
        <w:rPr>
          <w:b w:val="0"/>
          <w:color w:val="000000"/>
          <w:sz w:val="28"/>
          <w:szCs w:val="28"/>
          <w:shd w:val="clear" w:color="auto" w:fill="FFFFFF"/>
        </w:rPr>
        <w:t>- 12 об'єктів громадського призначення розташованих у вбудовано-прибудованих приміщеннях багатоквартирних житлових будинків.</w:t>
      </w:r>
    </w:p>
    <w:p w:rsidR="00426D3B" w:rsidRPr="00346978" w:rsidRDefault="00426D3B" w:rsidP="00D03B08">
      <w:pPr>
        <w:pStyle w:val="BodyText"/>
        <w:tabs>
          <w:tab w:val="left" w:pos="1122"/>
        </w:tabs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ab/>
      </w:r>
      <w:r w:rsidRPr="00346978">
        <w:rPr>
          <w:b w:val="0"/>
          <w:color w:val="000000"/>
          <w:sz w:val="28"/>
          <w:szCs w:val="28"/>
          <w:shd w:val="clear" w:color="auto" w:fill="FFFFFF"/>
        </w:rPr>
        <w:t>Ведеться будівництво :</w:t>
      </w:r>
    </w:p>
    <w:p w:rsidR="00426D3B" w:rsidRPr="00346978" w:rsidRDefault="00426D3B" w:rsidP="00D03B08">
      <w:pPr>
        <w:pStyle w:val="BalloonText"/>
        <w:numPr>
          <w:ilvl w:val="0"/>
          <w:numId w:val="8"/>
        </w:numPr>
        <w:tabs>
          <w:tab w:val="left" w:pos="1122"/>
        </w:tabs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46978">
        <w:rPr>
          <w:rFonts w:ascii="Times New Roman" w:hAnsi="Times New Roman" w:cs="Times New Roman"/>
          <w:sz w:val="28"/>
          <w:szCs w:val="28"/>
        </w:rPr>
        <w:t>ІІ черги готельно-ресторанного комплексу з адміністративними приміщеннями та автостоянкою на 100 машино-місць із станцією технічного обслуговування на вул. С.Бандери, 50 в м. Червонограді ;</w:t>
      </w:r>
    </w:p>
    <w:p w:rsidR="00426D3B" w:rsidRPr="00346978" w:rsidRDefault="00426D3B" w:rsidP="00D03B08">
      <w:pPr>
        <w:pStyle w:val="BalloonText"/>
        <w:numPr>
          <w:ilvl w:val="0"/>
          <w:numId w:val="8"/>
        </w:numPr>
        <w:tabs>
          <w:tab w:val="left" w:pos="1122"/>
        </w:tabs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46978">
        <w:rPr>
          <w:rFonts w:ascii="Times New Roman" w:hAnsi="Times New Roman" w:cs="Times New Roman"/>
          <w:sz w:val="28"/>
          <w:szCs w:val="28"/>
        </w:rPr>
        <w:t>багатоквартирного житлового будинку на вул. Клюсівська, 28 в місті Червонограді ( замовник Приватне акціонерне товариство "Червоноградський завод залізобетонних виробів")</w:t>
      </w:r>
    </w:p>
    <w:p w:rsidR="00426D3B" w:rsidRPr="00346978" w:rsidRDefault="00426D3B" w:rsidP="00D03B08">
      <w:pPr>
        <w:pStyle w:val="BalloonText"/>
        <w:numPr>
          <w:ilvl w:val="0"/>
          <w:numId w:val="8"/>
        </w:numPr>
        <w:tabs>
          <w:tab w:val="left" w:pos="1122"/>
        </w:tabs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46978">
        <w:rPr>
          <w:rFonts w:ascii="Times New Roman" w:hAnsi="Times New Roman" w:cs="Times New Roman"/>
          <w:sz w:val="28"/>
          <w:szCs w:val="28"/>
        </w:rPr>
        <w:t>багатоквартирного житлового будинку на вул. Корольова, 18"а" в місті Червонограді, (замовник ЖБК "ВІРА") :</w:t>
      </w:r>
    </w:p>
    <w:p w:rsidR="00426D3B" w:rsidRPr="00346978" w:rsidRDefault="00426D3B" w:rsidP="00D03B08">
      <w:pPr>
        <w:pStyle w:val="BalloonText"/>
        <w:numPr>
          <w:ilvl w:val="0"/>
          <w:numId w:val="8"/>
        </w:numPr>
        <w:tabs>
          <w:tab w:val="left" w:pos="1122"/>
        </w:tabs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46978">
        <w:rPr>
          <w:rFonts w:ascii="Times New Roman" w:hAnsi="Times New Roman" w:cs="Times New Roman"/>
          <w:sz w:val="28"/>
          <w:szCs w:val="28"/>
        </w:rPr>
        <w:t xml:space="preserve">ІІ черги житлового комплексу "Еко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6978">
        <w:rPr>
          <w:rFonts w:ascii="Times New Roman" w:hAnsi="Times New Roman" w:cs="Times New Roman"/>
          <w:sz w:val="28"/>
          <w:szCs w:val="28"/>
        </w:rPr>
        <w:t>арк" на вул. Івасюка,2"б"  в місті Червонограді.</w:t>
      </w:r>
    </w:p>
    <w:p w:rsidR="00426D3B" w:rsidRDefault="00426D3B" w:rsidP="00D03B08">
      <w:pPr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346978">
        <w:rPr>
          <w:rFonts w:ascii="Times New Roman" w:hAnsi="Times New Roman"/>
          <w:sz w:val="28"/>
          <w:szCs w:val="28"/>
        </w:rPr>
        <w:t>Вирішувалися питання доступності до об’єктів містобудування для осіб з обмеженими фізичними можливостями, ведеться аудит доступності для маломобільних груп населення.</w:t>
      </w:r>
      <w:r>
        <w:rPr>
          <w:rFonts w:ascii="Times New Roman" w:hAnsi="Times New Roman"/>
          <w:sz w:val="28"/>
          <w:szCs w:val="28"/>
        </w:rPr>
        <w:tab/>
      </w:r>
    </w:p>
    <w:p w:rsidR="00426D3B" w:rsidRPr="00D03B08" w:rsidRDefault="00426D3B" w:rsidP="00D03B08">
      <w:pPr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D03B08">
        <w:rPr>
          <w:rFonts w:ascii="Times New Roman" w:hAnsi="Times New Roman"/>
          <w:sz w:val="28"/>
          <w:szCs w:val="28"/>
        </w:rPr>
        <w:t>Окрім того, підготовлено та видано 18 паспортів прив'язок тимчасових споруд для провадження підприємницької діяльності, з них 16 стаціонарних та 2 пересувних тимчасових споруд.</w:t>
      </w:r>
    </w:p>
    <w:p w:rsidR="00426D3B" w:rsidRDefault="00426D3B" w:rsidP="00D03B08">
      <w:pPr>
        <w:pStyle w:val="Title"/>
        <w:ind w:firstLine="780"/>
        <w:jc w:val="both"/>
      </w:pPr>
      <w:r w:rsidRPr="00346978">
        <w:t>Оформлено 13 дозволів на розміщення зовнішньої реклами на території                      м. Червонограда.</w:t>
      </w:r>
    </w:p>
    <w:p w:rsidR="00426D3B" w:rsidRPr="00346978" w:rsidRDefault="00426D3B" w:rsidP="00B71A96">
      <w:pPr>
        <w:pStyle w:val="Title"/>
        <w:ind w:firstLine="780"/>
        <w:jc w:val="both"/>
      </w:pPr>
      <w:r>
        <w:t>Надання технічних умов,</w:t>
      </w:r>
      <w:r w:rsidRPr="00346978">
        <w:t xml:space="preserve"> реєстраці</w:t>
      </w:r>
      <w:r>
        <w:t xml:space="preserve">я </w:t>
      </w:r>
      <w:r w:rsidRPr="00346978">
        <w:t>повідомлень</w:t>
      </w:r>
      <w:r>
        <w:t xml:space="preserve"> </w:t>
      </w:r>
      <w:r w:rsidRPr="00346978">
        <w:t>про</w:t>
      </w:r>
      <w:r>
        <w:t xml:space="preserve"> </w:t>
      </w:r>
      <w:r w:rsidRPr="00346978">
        <w:t>початок</w:t>
      </w:r>
      <w:r>
        <w:t xml:space="preserve"> </w:t>
      </w:r>
      <w:r w:rsidRPr="00346978">
        <w:t>виконання  підготовчих б</w:t>
      </w:r>
      <w:r>
        <w:t xml:space="preserve">удівельних робіт, </w:t>
      </w:r>
      <w:r w:rsidRPr="00346978">
        <w:t>реєстраці</w:t>
      </w:r>
      <w:r>
        <w:t xml:space="preserve">я </w:t>
      </w:r>
      <w:r w:rsidRPr="00346978">
        <w:t>декларацій</w:t>
      </w:r>
      <w:r>
        <w:t xml:space="preserve"> </w:t>
      </w:r>
      <w:r w:rsidRPr="00346978">
        <w:t>про</w:t>
      </w:r>
      <w:r>
        <w:t xml:space="preserve"> </w:t>
      </w:r>
      <w:r w:rsidRPr="00346978">
        <w:t>початок</w:t>
      </w:r>
      <w:r>
        <w:t xml:space="preserve"> </w:t>
      </w:r>
      <w:r w:rsidRPr="00346978">
        <w:t>виконання будівельних робіт</w:t>
      </w:r>
      <w:r>
        <w:t>, реєстрація виданих дозволів на виконання будівельних робіт, реєстрація декларацій про готовність об’єктів до експлуатації та виданих сертифікатів</w:t>
      </w:r>
      <w:r w:rsidRPr="00346978">
        <w:t xml:space="preserve"> управлінням</w:t>
      </w:r>
      <w:r>
        <w:t xml:space="preserve"> містобудування та архітектури Червоноградської міської ради </w:t>
      </w:r>
      <w:r w:rsidRPr="00346978">
        <w:t>не ведеться</w:t>
      </w:r>
      <w:r>
        <w:t>. Окрім того, з 24.02.2022 року до завершення воєнного стану держателем Єдиної державної електронної системи у сфері будівництва прийнято рішення про обмеження розміщення вищезазначеної інформації на публічному порталі.</w:t>
      </w:r>
    </w:p>
    <w:p w:rsidR="00426D3B" w:rsidRDefault="00426D3B" w:rsidP="00D03B08">
      <w:pPr>
        <w:pStyle w:val="BalloonText"/>
        <w:tabs>
          <w:tab w:val="left" w:pos="1122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43B09">
        <w:rPr>
          <w:rFonts w:ascii="Times New Roman" w:hAnsi="Times New Roman" w:cs="Times New Roman"/>
          <w:sz w:val="28"/>
          <w:szCs w:val="28"/>
        </w:rPr>
        <w:t>Статистична  звітність  балансової  вартості  майнових комплексів не ведеться. Матеріали  виконавчої  зйомки   результатів  завершеного будівництва відсутні.</w:t>
      </w:r>
    </w:p>
    <w:p w:rsidR="00426D3B" w:rsidRDefault="00426D3B" w:rsidP="00D03B08">
      <w:pPr>
        <w:pStyle w:val="BalloonText"/>
        <w:tabs>
          <w:tab w:val="left" w:pos="1122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426D3B" w:rsidRPr="0072393C" w:rsidRDefault="00426D3B" w:rsidP="0072393C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Розділ 5.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демографічної ситуації та розселення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26D3B" w:rsidRPr="00E567D0" w:rsidRDefault="00426D3B" w:rsidP="00D03B0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Чисельність наявного населення Червоноградської територіальної громади становить до 90 тис. осіб. Густота населення  орієнтовано становить 390 осіб/км</w:t>
      </w:r>
      <w:r w:rsidRPr="007C41A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.</w:t>
      </w:r>
      <w:r w:rsidRPr="0044163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26D3B" w:rsidRDefault="00426D3B" w:rsidP="00D03B0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чисельністю населення населені пункти громади належать:</w:t>
      </w:r>
    </w:p>
    <w:p w:rsidR="00426D3B" w:rsidRDefault="00426D3B" w:rsidP="00D03B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7C41A6">
        <w:rPr>
          <w:rFonts w:ascii="Times New Roman" w:hAnsi="Times New Roman"/>
          <w:color w:val="000000"/>
          <w:sz w:val="28"/>
          <w:szCs w:val="28"/>
        </w:rPr>
        <w:t>дміністративний центр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41A6">
        <w:rPr>
          <w:rFonts w:ascii="Times New Roman" w:hAnsi="Times New Roman"/>
          <w:color w:val="000000"/>
          <w:sz w:val="28"/>
          <w:szCs w:val="28"/>
        </w:rPr>
        <w:t>Червоноград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7C41A6">
        <w:rPr>
          <w:rFonts w:ascii="Times New Roman" w:hAnsi="Times New Roman"/>
          <w:color w:val="000000"/>
          <w:sz w:val="28"/>
          <w:szCs w:val="28"/>
        </w:rPr>
        <w:t xml:space="preserve"> до середніх  міст (</w:t>
      </w:r>
      <w:r>
        <w:rPr>
          <w:rFonts w:ascii="Times New Roman" w:hAnsi="Times New Roman"/>
          <w:color w:val="000000"/>
          <w:sz w:val="28"/>
          <w:szCs w:val="28"/>
        </w:rPr>
        <w:t xml:space="preserve">понад </w:t>
      </w:r>
      <w:r w:rsidRPr="007C41A6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7C41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250</w:t>
      </w:r>
      <w:r w:rsidRPr="007C41A6">
        <w:rPr>
          <w:rFonts w:ascii="Times New Roman" w:hAnsi="Times New Roman"/>
          <w:color w:val="000000"/>
          <w:sz w:val="28"/>
          <w:szCs w:val="28"/>
        </w:rPr>
        <w:t xml:space="preserve"> тис. осіб);</w:t>
      </w:r>
    </w:p>
    <w:p w:rsidR="00426D3B" w:rsidRDefault="00426D3B" w:rsidP="00D03B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Соснівка, смт. Гірник - до малих міст (до 50 тис. осіб);</w:t>
      </w:r>
    </w:p>
    <w:p w:rsidR="00426D3B" w:rsidRDefault="00426D3B" w:rsidP="00D03B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с.Сілець - до крупних сільських населених пунктів (понад 3 до 5 тис.осіб);</w:t>
      </w:r>
    </w:p>
    <w:p w:rsidR="00426D3B" w:rsidRDefault="00426D3B" w:rsidP="00D03B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с.Борятин,</w:t>
      </w:r>
      <w:r w:rsidRPr="00B262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с.Волсвин, с.Добрячин, с.Межиріччя, с.Острів, с</w:t>
      </w:r>
      <w:r w:rsidRPr="00B262F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Поздимир  - до великих сіл (понад 0,5 до 3 тис.осіб);</w:t>
      </w:r>
    </w:p>
    <w:p w:rsidR="00426D3B" w:rsidRDefault="00426D3B" w:rsidP="00D03B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с.Бендюга - до середніх сіл (понад 0,2 до 0,5 тис. осіб);</w:t>
      </w:r>
    </w:p>
    <w:p w:rsidR="00426D3B" w:rsidRDefault="00426D3B" w:rsidP="00D03B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с.Бережне, с.Городище, с.Рудка - до малих сіл (менше 0,2 тис. осіб).</w:t>
      </w:r>
    </w:p>
    <w:p w:rsidR="00426D3B" w:rsidRDefault="00426D3B" w:rsidP="00D03B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Житловий фонд громади складається з багатоквартирних житлових будинків, які розміщено у міських населених пунктах та індивідуальних житлових будинків садибного типу, що розміщені в усіх населених пунктах.</w:t>
      </w:r>
    </w:p>
    <w:p w:rsidR="00426D3B" w:rsidRDefault="00426D3B" w:rsidP="00D03B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Громадяни, які перебувають на квартирному обліку Червоноградської територіальної громади, житловими приміщеннями не забезпечуються впродовж 20 років, окрім поодиноких випадків пільгових категорій черговиків. </w:t>
      </w:r>
    </w:p>
    <w:p w:rsidR="00426D3B" w:rsidRDefault="00426D3B" w:rsidP="00D03B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Трудові ресурси м. Червонограда орієнтовно становлять 35 тис. осіб. Чисельність зайнятих на виробничих підприємствах складає більше 12 тис. осіб. Значна частина працездатного віку зайнята в мережі об’єктів соціальної сфери (≈ 9тис.осіб), на об’єктах підприємницької діяльності,  в домашньому господарстві.</w:t>
      </w:r>
    </w:p>
    <w:p w:rsidR="00426D3B" w:rsidRPr="00D25297" w:rsidRDefault="00426D3B" w:rsidP="00D03B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В державній службі зайнятості перебували на обліку  орієнтовно 2500 осіб. Навантаження на одне вільне робоче  місце складало  3 особи.</w:t>
      </w:r>
    </w:p>
    <w:p w:rsidR="00426D3B" w:rsidRPr="001F06C1" w:rsidRDefault="00426D3B" w:rsidP="00D03B08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6D3B" w:rsidRPr="0072393C" w:rsidRDefault="00426D3B" w:rsidP="0072393C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6.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соціально-економічної діяльності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26D3B" w:rsidRDefault="00426D3B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Загальна кількість суб’єктів господарської діяльності у населених  пунктах Червоноградської територіальної громади становить до 4500 одиниць.</w:t>
      </w:r>
    </w:p>
    <w:p w:rsidR="00426D3B" w:rsidRDefault="00426D3B" w:rsidP="00F438B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зайнятості за видами економічної діяльності наступна: промисловість (18%); оптова і роздрібна торгівля, торгівля транспортними засобами, послуги з їх ремонту (18%); освіта (9,6%); охорона здоров’я та соціальна допомога (7%); транспорт і зв'язок (6%); державне управління (5%); будівництво (5%); сільське господарство, мисливство, лісове та рибне господарство (5%); </w:t>
      </w:r>
      <w:r w:rsidRPr="00004DF4">
        <w:rPr>
          <w:rFonts w:ascii="Times New Roman" w:hAnsi="Times New Roman"/>
          <w:color w:val="000000"/>
          <w:sz w:val="28"/>
          <w:szCs w:val="28"/>
        </w:rPr>
        <w:t>готелі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DF4">
        <w:rPr>
          <w:rFonts w:ascii="Times New Roman" w:hAnsi="Times New Roman"/>
          <w:color w:val="000000"/>
          <w:sz w:val="28"/>
          <w:szCs w:val="28"/>
        </w:rPr>
        <w:t>ресторани (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04DF4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04DF4">
        <w:rPr>
          <w:rFonts w:ascii="Times New Roman" w:hAnsi="Times New Roman"/>
          <w:color w:val="000000"/>
          <w:sz w:val="28"/>
          <w:szCs w:val="28"/>
        </w:rPr>
        <w:t>фінансова діяльність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DF4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04DF4">
        <w:rPr>
          <w:rFonts w:ascii="Times New Roman" w:hAnsi="Times New Roman"/>
          <w:color w:val="000000"/>
          <w:sz w:val="28"/>
          <w:szCs w:val="28"/>
        </w:rPr>
        <w:t>%);</w:t>
      </w:r>
      <w:r>
        <w:rPr>
          <w:rFonts w:ascii="Times New Roman" w:hAnsi="Times New Roman"/>
          <w:color w:val="000000"/>
          <w:sz w:val="28"/>
          <w:szCs w:val="28"/>
        </w:rPr>
        <w:t xml:space="preserve"> операції з нерухомістю, здавання під найм та послуги юридичними особам (3%); колективні, громадські та особисті послуги (1%); інші</w:t>
      </w:r>
      <w:r w:rsidRPr="009D51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види діяльності (14,</w:t>
      </w:r>
      <w:r w:rsidRPr="009D51D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%).</w:t>
      </w:r>
    </w:p>
    <w:p w:rsidR="00426D3B" w:rsidRPr="00DA06A5" w:rsidRDefault="00426D3B" w:rsidP="001F06C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06A5">
        <w:rPr>
          <w:rFonts w:ascii="Times New Roman" w:hAnsi="Times New Roman"/>
          <w:b/>
          <w:color w:val="000000"/>
          <w:sz w:val="28"/>
          <w:szCs w:val="28"/>
        </w:rPr>
        <w:t xml:space="preserve">Найбільші роботодавці громади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1"/>
        <w:gridCol w:w="3317"/>
        <w:gridCol w:w="1786"/>
      </w:tblGrid>
      <w:tr w:rsidR="00426D3B" w:rsidRPr="007F124B" w:rsidTr="007F124B">
        <w:trPr>
          <w:trHeight w:val="337"/>
        </w:trPr>
        <w:tc>
          <w:tcPr>
            <w:tcW w:w="562" w:type="dxa"/>
          </w:tcPr>
          <w:p w:rsidR="00426D3B" w:rsidRPr="00A876D4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76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Підприємство, організація, установа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діяльності (основний)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Чисельність працівників </w:t>
            </w:r>
          </w:p>
        </w:tc>
      </w:tr>
      <w:tr w:rsidR="00426D3B" w:rsidRPr="007F124B" w:rsidTr="007F124B">
        <w:trPr>
          <w:trHeight w:val="695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«Лісова» ДП «Лвівугілля»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1040</w:t>
            </w:r>
          </w:p>
        </w:tc>
      </w:tr>
      <w:tr w:rsidR="00426D3B" w:rsidRPr="007F124B" w:rsidTr="007F124B">
        <w:trPr>
          <w:trHeight w:val="754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«Відродження» ДП «Львівугілля»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1040</w:t>
            </w:r>
          </w:p>
        </w:tc>
      </w:tr>
      <w:tr w:rsidR="00426D3B" w:rsidRPr="007F124B" w:rsidTr="007F124B">
        <w:trPr>
          <w:trHeight w:val="686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«Межирічанська» ДП «Львівугілля»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1003</w:t>
            </w:r>
          </w:p>
        </w:tc>
      </w:tr>
      <w:tr w:rsidR="00426D3B" w:rsidRPr="007F124B" w:rsidTr="007F124B">
        <w:trPr>
          <w:trHeight w:val="760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Червоноградська»</w:t>
            </w:r>
          </w:p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ДП «Львівугілля» 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988</w:t>
            </w:r>
          </w:p>
        </w:tc>
      </w:tr>
      <w:tr w:rsidR="00426D3B" w:rsidRPr="007F124B" w:rsidTr="007F124B">
        <w:trPr>
          <w:trHeight w:val="820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«Великомостівська» ДП «Львівугілля»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856</w:t>
            </w:r>
          </w:p>
        </w:tc>
      </w:tr>
      <w:tr w:rsidR="00426D3B" w:rsidRPr="007F124B" w:rsidTr="007F124B">
        <w:trPr>
          <w:trHeight w:val="752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ПАТ «Львівська вугільна компанія»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Виробництво продуктів нафтоперероблення 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701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Приватне акціонерне товариство «Шахта «Надія»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Приватне акціонерне товариство «ВАТ КАЛИНА»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спіднього одягу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436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ТОВ «Дюна-Веста»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панчішно-шкарпеткових виробів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ТДВ «Червоноградський завод металоконструкцій»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ТзОВ «Мебель-Сервіс»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меблів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ТОВ «АТБ- маркет»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Роздрібна торгівля в</w:t>
            </w:r>
          </w:p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СП «Київ –Захід» у формі ТзОВ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Виробництво хлібобулочної продукції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х роздрібна торгівля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426D3B" w:rsidRPr="007F124B" w:rsidTr="00BC0293">
        <w:trPr>
          <w:trHeight w:val="753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ТзОВ «Агро-інвест»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Оптова торгівля м’ясом і м’ясними  продуктами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ПП «ЗАСТАВА»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Роздрібна торгівля залізними виробами, будівельними матеріалами та санітарно-технічними виробами в спеціалізованих магазинах</w:t>
            </w:r>
          </w:p>
        </w:tc>
        <w:tc>
          <w:tcPr>
            <w:tcW w:w="1786" w:type="dxa"/>
          </w:tcPr>
          <w:p w:rsidR="00426D3B" w:rsidRPr="007F124B" w:rsidRDefault="00426D3B" w:rsidP="00497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 «Зміна»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Виробництво інструментів і обладнання для вимірювання </w:t>
            </w:r>
          </w:p>
        </w:tc>
        <w:tc>
          <w:tcPr>
            <w:tcW w:w="1786" w:type="dxa"/>
          </w:tcPr>
          <w:p w:rsidR="00426D3B" w:rsidRPr="007F124B" w:rsidRDefault="00426D3B" w:rsidP="00497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426D3B" w:rsidRPr="007F124B" w:rsidTr="007F124B">
        <w:trPr>
          <w:trHeight w:val="798"/>
        </w:trPr>
        <w:tc>
          <w:tcPr>
            <w:tcW w:w="562" w:type="dxa"/>
            <w:vAlign w:val="center"/>
          </w:tcPr>
          <w:p w:rsidR="00426D3B" w:rsidRPr="007F124B" w:rsidRDefault="00426D3B" w:rsidP="00497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ТОВ «Епіцентр К»</w:t>
            </w:r>
          </w:p>
        </w:tc>
        <w:tc>
          <w:tcPr>
            <w:tcW w:w="3317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Роздрібна торгівля іншими невживаними товарами в спеціалізованих магазинах </w:t>
            </w:r>
          </w:p>
        </w:tc>
        <w:tc>
          <w:tcPr>
            <w:tcW w:w="1786" w:type="dxa"/>
          </w:tcPr>
          <w:p w:rsidR="00426D3B" w:rsidRPr="007F124B" w:rsidRDefault="00426D3B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</w:tr>
    </w:tbl>
    <w:p w:rsidR="00426D3B" w:rsidRDefault="00426D3B" w:rsidP="00D03B08">
      <w:pPr>
        <w:pStyle w:val="ListParagraph"/>
        <w:tabs>
          <w:tab w:val="left" w:pos="23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D3B" w:rsidRDefault="00426D3B" w:rsidP="00D03B08">
      <w:pPr>
        <w:pStyle w:val="ListParagraph"/>
        <w:tabs>
          <w:tab w:val="left" w:pos="23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8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тратегією розвитку Червоноградської територіальної громади плануються заходи для посилення потужностей виробничого комплексу та ділової активності, зокрема:</w:t>
      </w:r>
    </w:p>
    <w:p w:rsidR="00426D3B" w:rsidRDefault="00426D3B" w:rsidP="00DA58BC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земельних ділянок та об’єктів нерухомості для підприємницької діяльності;</w:t>
      </w:r>
    </w:p>
    <w:p w:rsidR="00426D3B" w:rsidRDefault="00426D3B" w:rsidP="00DA58BC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земельних ділянок комунальної власності для продажу права оренди на земельних торгах ;</w:t>
      </w:r>
    </w:p>
    <w:p w:rsidR="00426D3B" w:rsidRDefault="00426D3B" w:rsidP="00DA58BC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індустріального парку ;</w:t>
      </w:r>
    </w:p>
    <w:p w:rsidR="00426D3B" w:rsidRDefault="00426D3B" w:rsidP="00DA58BC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конкурентоспроможного сільськогосподарського виробництва громади;</w:t>
      </w:r>
    </w:p>
    <w:p w:rsidR="00426D3B" w:rsidRDefault="00426D3B" w:rsidP="00DA58BC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школи підприємництва «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 w:rsidRPr="00152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project</w:t>
      </w:r>
      <w:r w:rsidRPr="001528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учнів ЗЗСО Червоноградської територіальної громади.</w:t>
      </w:r>
    </w:p>
    <w:p w:rsidR="00426D3B" w:rsidRDefault="00426D3B" w:rsidP="00DA58BC">
      <w:p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пропонується розвиток туристичного потенціалу громади, зокрема:</w:t>
      </w:r>
    </w:p>
    <w:p w:rsidR="00426D3B" w:rsidRDefault="00426D3B" w:rsidP="00DA58B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інклюзивного парково-відпочинкового простору «Ботанічний сад»;</w:t>
      </w:r>
    </w:p>
    <w:p w:rsidR="00426D3B" w:rsidRDefault="00426D3B" w:rsidP="00DA58BC">
      <w:pPr>
        <w:pStyle w:val="ListParagraph"/>
        <w:numPr>
          <w:ilvl w:val="0"/>
          <w:numId w:val="7"/>
        </w:numPr>
        <w:pBdr>
          <w:bottom w:val="single" w:sz="4" w:space="1" w:color="FFFFFF"/>
        </w:pBd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розробка техніко – економічного обґрунтування ревіталізації  шахти «Надія» з метою створення туристичного хабу;</w:t>
      </w:r>
    </w:p>
    <w:p w:rsidR="00426D3B" w:rsidRPr="00D03B08" w:rsidRDefault="00426D3B" w:rsidP="00DA58B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влаштування велодоріжки  «Червоноград сакральний».</w:t>
      </w:r>
    </w:p>
    <w:p w:rsidR="00426D3B" w:rsidRDefault="00426D3B" w:rsidP="00D03B08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Pr="00D03B08" w:rsidRDefault="00426D3B" w:rsidP="0072393C">
      <w:pPr>
        <w:spacing w:after="0" w:line="240" w:lineRule="auto"/>
        <w:ind w:left="56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Розділ 7.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Моніторинг просторових зв’язків та транспортної діяльності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Встановлені сталі трудові, економічні, інфраструктурні, культурні та рекреаційні зв’язки з обласним центром м. Львів та Сокальською, Великомостівською, Радехівською територіальними громадами.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Території  розселення в Червоноградській територіальній  громаді та в її адміністративному центрі (м.</w:t>
      </w:r>
      <w:r w:rsidRPr="00E567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Червоноград) мають зручне сполучення із об’єктами  інженерно-транспортної інфраструктури.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Рівень безпеки дорожнього руху добрий. Спостерігається в пікові години  незначні заторові явища транспортного руху в районі залізничного та автовокзалу і ринкових комплексів в м.</w:t>
      </w:r>
      <w:r w:rsidRPr="00E567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Червонограді. Дана проблематика виникає у зв’язку з тим, що залізничний і автобусний вокзали примикають до районної дороги місцевого значення Червоноград- Сокаль, що в межах міста пролягає  вулицею Б.Хмельницького по якій здійснюється автобусне міжміське та приміське сполучення та заїзд на автовокзал, а також діяльності навколишніх ринкових комплексів. З метою виправлення ситуації потребують реалізації рішення детального плану території в районі авто та залізничного вокзалів,Червоноградського міського ринку та ринку «Майдан», затвердженого рішенням Червоноградської міської ради  від 27.10.2016. №320.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Зовнішні пасажирські зв’язки населення Червоноградської територіальної громади з обласним центром та іншими населеними пунктами здійснюється автомобільним транспортом. Для поїздки в інші населені пункти мешканці користуються автобусними маршрутами (переважно в напрямках: м. Львів, м. Сокаль, м. Ковель, м. Рава-Руська, м.</w:t>
      </w:r>
      <w:r w:rsidRPr="00E567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Радехів та інші), а також особистим легковим транспортом.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Рух вантажного автотранспорту здійснюється  по автомобільних дорогах Р-15</w:t>
      </w:r>
      <w:r w:rsidRPr="001E3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(Ковель-Жовква), Т-1404</w:t>
      </w:r>
      <w:r w:rsidRPr="001E3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(Червоноград-Рава-Руська) і Т-1410</w:t>
      </w:r>
      <w:r w:rsidRPr="001E3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(Броди-Червоноград), а також по визначених містобудівною документацією вулицях населених пунктів громади для обслуговування виробничих підприємств у промзонах. 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Загальна середньорічна інтенсивність руху на вказаних основних автошляхах складає: 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Р-15 - 3000-10000 авт./добу;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Т-1404 - 150-1000 авт./добу;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Т-1410 - 150-1000 авт./добу.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Також здійснюється рух залізничного транспорту через станції міст Червоноград та Соснівка. Через дані станції проходять 3 пари пасажирських поїздів, з них : 1 пара дальнього сполучення, 2 пари приміських, а також 20 пар вантажних поїздів.</w:t>
      </w:r>
    </w:p>
    <w:p w:rsidR="00426D3B" w:rsidRDefault="00426D3B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Pr="0072393C" w:rsidRDefault="00426D3B" w:rsidP="0072393C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4C34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8.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404C34">
        <w:rPr>
          <w:rFonts w:ascii="Times New Roman" w:hAnsi="Times New Roman"/>
          <w:b/>
          <w:i/>
          <w:color w:val="000000"/>
          <w:sz w:val="28"/>
          <w:szCs w:val="28"/>
        </w:rPr>
        <w:t>Моніторинг інфраструктури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26D3B" w:rsidRDefault="00426D3B" w:rsidP="00D03B0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Транспортна інфраструктура Червоноградської територіальної громади представлена автомобільним та залізничним транспортом.</w:t>
      </w:r>
    </w:p>
    <w:p w:rsidR="00426D3B" w:rsidRDefault="00426D3B" w:rsidP="005B5B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Територією громади проходять наступні автомобільні дороги:</w:t>
      </w:r>
      <w:r w:rsidRPr="00404C34">
        <w:t xml:space="preserve"> </w:t>
      </w:r>
      <w:r w:rsidRPr="00404C34">
        <w:rPr>
          <w:rFonts w:ascii="Times New Roman" w:hAnsi="Times New Roman"/>
          <w:color w:val="000000"/>
          <w:sz w:val="28"/>
          <w:szCs w:val="28"/>
        </w:rPr>
        <w:t>Р-15 (Ковель-Жовква), Т-14</w:t>
      </w:r>
      <w:r>
        <w:rPr>
          <w:rFonts w:ascii="Times New Roman" w:hAnsi="Times New Roman"/>
          <w:color w:val="000000"/>
          <w:sz w:val="28"/>
          <w:szCs w:val="28"/>
        </w:rPr>
        <w:t xml:space="preserve">04 </w:t>
      </w:r>
      <w:r w:rsidRPr="00404C34">
        <w:rPr>
          <w:rFonts w:ascii="Times New Roman" w:hAnsi="Times New Roman"/>
          <w:color w:val="000000"/>
          <w:sz w:val="28"/>
          <w:szCs w:val="28"/>
        </w:rPr>
        <w:t>(Червоноград-Рава-Руська) і Т-14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04C34">
        <w:rPr>
          <w:rFonts w:ascii="Times New Roman" w:hAnsi="Times New Roman"/>
          <w:color w:val="000000"/>
          <w:sz w:val="28"/>
          <w:szCs w:val="28"/>
        </w:rPr>
        <w:t xml:space="preserve"> (Броди-Червоноград)</w:t>
      </w:r>
      <w:r>
        <w:rPr>
          <w:rFonts w:ascii="Times New Roman" w:hAnsi="Times New Roman"/>
          <w:color w:val="000000"/>
          <w:sz w:val="28"/>
          <w:szCs w:val="28"/>
        </w:rPr>
        <w:t>. На території громади представлені автостанції АС м. Червоноград (здійснюється відправлення</w:t>
      </w:r>
      <w:r w:rsidRPr="003505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автобусів по міжнародних, міжобласних, міжміських, приміських та міських регулярних сполучень) та АС м. Соснівка (здійснюється відправлення автобусів по міжміському та приміському регулярному сполученню, в напрямку м. Львів та м. Червоноград).</w:t>
      </w:r>
    </w:p>
    <w:p w:rsidR="00426D3B" w:rsidRDefault="00426D3B" w:rsidP="005B5B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містах Червоноград та Соснівка розташовані залізничні станції. На станціях зупиняються потяги далекого сполучення Дніпро-Київ-Львів та Львів-Київ-Дніпро. Також через станцію проходять приміські потяги (на Львів, Сокаль та Ковель).</w:t>
      </w:r>
    </w:p>
    <w:p w:rsidR="00426D3B" w:rsidRDefault="00426D3B" w:rsidP="00D03B0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Інженерна інфраструктура громади розвинута. Житловий фонд та об’єкти  громадського призначення обладнані централізованим електро-, газопостачанням, а також частково централізованим водопостачанням та водовідведенням. Водопостачання житлових будинків у селах Волсвин та Поздимир індивідуальне. Для водовідведення від об’єктів забудови, які не обладнані централізованим каналізуванням, використовуються вигрібні ями.</w:t>
      </w:r>
    </w:p>
    <w:p w:rsidR="00426D3B" w:rsidRDefault="00426D3B" w:rsidP="00187A9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Житловий фонд Червоноградської міської територіальної громади налічує</w:t>
      </w:r>
    </w:p>
    <w:p w:rsidR="00426D3B" w:rsidRDefault="00426D3B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569 багатоквартирних будинків загальною площею 1653 тис.кв.м. Загальна кількість індивідуальних (садибних) житлових будинків становить 6242.</w:t>
      </w:r>
    </w:p>
    <w:p w:rsidR="00426D3B" w:rsidRDefault="00426D3B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Соціальна інфраструктура розвинута. На території громади розміщено такі об’єкти: заклади фахової передвищої освіти - 1; професійно-технічної освіти - 2; школи та ліцеї - 21; позашкільні заклади освіти - 6; дитячо-юнацькі спортивні школи - 2; спортивні комплекси - 2; </w:t>
      </w:r>
      <w:r w:rsidRPr="00414E82">
        <w:rPr>
          <w:rFonts w:ascii="Times New Roman" w:hAnsi="Times New Roman"/>
          <w:color w:val="000000"/>
          <w:sz w:val="28"/>
          <w:szCs w:val="28"/>
        </w:rPr>
        <w:t>дошкільні навчальні заклади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E8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15</w:t>
      </w:r>
      <w:r w:rsidRPr="00414E82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 заклади культури - 30;</w:t>
      </w:r>
      <w:r w:rsidRPr="008B37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заклади громадського харчування - 70;</w:t>
      </w:r>
      <w:r w:rsidRPr="00775E10">
        <w:t xml:space="preserve"> </w:t>
      </w:r>
      <w:r w:rsidRPr="008B37C1">
        <w:t xml:space="preserve"> </w:t>
      </w:r>
      <w:r w:rsidRPr="00775E10">
        <w:rPr>
          <w:rFonts w:ascii="Times New Roman" w:hAnsi="Times New Roman"/>
          <w:color w:val="000000"/>
          <w:sz w:val="28"/>
          <w:szCs w:val="28"/>
        </w:rPr>
        <w:t>заклади поштового зв’язку, кур’єрські служби</w:t>
      </w:r>
      <w:r>
        <w:rPr>
          <w:rFonts w:ascii="Times New Roman" w:hAnsi="Times New Roman"/>
          <w:color w:val="000000"/>
          <w:sz w:val="28"/>
          <w:szCs w:val="28"/>
        </w:rPr>
        <w:t xml:space="preserve"> - 37, банківські установи - 24</w:t>
      </w:r>
      <w:r w:rsidRPr="00775E10">
        <w:rPr>
          <w:rFonts w:ascii="Times New Roman" w:hAnsi="Times New Roman"/>
          <w:color w:val="000000"/>
          <w:sz w:val="28"/>
          <w:szCs w:val="28"/>
        </w:rPr>
        <w:t xml:space="preserve">; заклади побутового обслуговування </w:t>
      </w:r>
      <w:r>
        <w:rPr>
          <w:rFonts w:ascii="Times New Roman" w:hAnsi="Times New Roman"/>
          <w:color w:val="000000"/>
          <w:sz w:val="28"/>
          <w:szCs w:val="28"/>
        </w:rPr>
        <w:t>- понад 100</w:t>
      </w:r>
      <w:r w:rsidRPr="00775E10">
        <w:rPr>
          <w:rFonts w:ascii="Times New Roman" w:hAnsi="Times New Roman"/>
          <w:color w:val="000000"/>
          <w:sz w:val="28"/>
          <w:szCs w:val="28"/>
        </w:rPr>
        <w:t xml:space="preserve">; продовольчі та непродовольчі магазини </w:t>
      </w:r>
      <w:r>
        <w:rPr>
          <w:rFonts w:ascii="Times New Roman" w:hAnsi="Times New Roman"/>
          <w:color w:val="000000"/>
          <w:sz w:val="28"/>
          <w:szCs w:val="28"/>
        </w:rPr>
        <w:t>- понад 500</w:t>
      </w:r>
      <w:r w:rsidRPr="00775E10">
        <w:rPr>
          <w:rFonts w:ascii="Times New Roman" w:hAnsi="Times New Roman"/>
          <w:color w:val="000000"/>
          <w:sz w:val="28"/>
          <w:szCs w:val="28"/>
        </w:rPr>
        <w:t>; ринки -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775E10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заклади охорони здоров’я: лікарняні заклади -  4, амбулаторії - 2, фельдшерсько-акушерські пункти - 5, </w:t>
      </w:r>
      <w:r w:rsidRPr="00775E10">
        <w:rPr>
          <w:rFonts w:ascii="Times New Roman" w:hAnsi="Times New Roman"/>
          <w:color w:val="000000"/>
          <w:sz w:val="28"/>
          <w:szCs w:val="28"/>
        </w:rPr>
        <w:t>апте</w:t>
      </w:r>
      <w:r>
        <w:rPr>
          <w:rFonts w:ascii="Times New Roman" w:hAnsi="Times New Roman"/>
          <w:color w:val="000000"/>
          <w:sz w:val="28"/>
          <w:szCs w:val="28"/>
        </w:rPr>
        <w:t xml:space="preserve">ки </w:t>
      </w:r>
      <w:r w:rsidRPr="00775E1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33;  пожежні депо - 2.</w:t>
      </w:r>
    </w:p>
    <w:p w:rsidR="00426D3B" w:rsidRDefault="00426D3B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 метою забезпечення безбар’єрності об’єктів фізичного оточення і послуг для осіб з інвалідністю у виконавчому комітеті Червоноградської міської ради постійно працює комітет забезпечення доступності людей з інвалідністю та інших мало мобільних груп населення до об’єктів  соціальної та  інженерно-транспортної інфраструктури. Також затверджено рішенням виконавчого комітету </w:t>
      </w:r>
      <w:r w:rsidRPr="008D092F">
        <w:rPr>
          <w:rFonts w:ascii="Times New Roman" w:hAnsi="Times New Roman"/>
          <w:color w:val="000000"/>
          <w:sz w:val="28"/>
          <w:szCs w:val="28"/>
        </w:rPr>
        <w:t>Червоноградсько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місько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</w:rPr>
        <w:t>и від 26.06.2020р. №122 Перспективний план до 2025 року щодо забезпечення доступності вищезазначених осіб до важливих об’єктів соціальної та транспортної інфраструктури.</w:t>
      </w:r>
    </w:p>
    <w:p w:rsidR="00426D3B" w:rsidRPr="00705DB9" w:rsidRDefault="00426D3B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Рівень автомобілізації досить високий. Додатково потребує вирішення питання влаштування тимчасових автостоянок.</w:t>
      </w:r>
    </w:p>
    <w:p w:rsidR="00426D3B" w:rsidRDefault="00426D3B" w:rsidP="00D03B08">
      <w:pPr>
        <w:pStyle w:val="ListParagraph"/>
        <w:spacing w:before="240" w:after="0" w:line="240" w:lineRule="auto"/>
        <w:ind w:left="1211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426D3B" w:rsidRPr="00E62C1F" w:rsidRDefault="00426D3B" w:rsidP="00004DF4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9.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реалізації містобудівної документації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26D3B" w:rsidRDefault="00426D3B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769">
        <w:rPr>
          <w:rFonts w:ascii="Times New Roman" w:hAnsi="Times New Roman"/>
          <w:color w:val="000000"/>
          <w:sz w:val="28"/>
          <w:szCs w:val="28"/>
        </w:rPr>
        <w:t>З метою реалізації державної політики у сфері містобудування та архітектури, забезпечення планування територій на місцевому рівні</w:t>
      </w:r>
      <w:r w:rsidRPr="008D092F">
        <w:t xml:space="preserve"> </w:t>
      </w:r>
      <w:r>
        <w:t xml:space="preserve"> </w:t>
      </w:r>
      <w:r w:rsidRPr="0007270F">
        <w:rPr>
          <w:rFonts w:ascii="Times New Roman" w:hAnsi="Times New Roman"/>
          <w:color w:val="000000"/>
          <w:sz w:val="28"/>
          <w:szCs w:val="28"/>
        </w:rPr>
        <w:t>рішенням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Червоноградсько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місько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7270F"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</w:rPr>
        <w:t>24.03.22р.</w:t>
      </w:r>
      <w:r w:rsidRPr="0007270F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1223</w:t>
      </w:r>
      <w:r w:rsidRPr="000727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затверджено Програму розроблення містобудівної документації по Червоноградській територіальній громаді на 2022-2023 роки.</w:t>
      </w:r>
    </w:p>
    <w:p w:rsidR="00426D3B" w:rsidRDefault="00426D3B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2022р. розроблені та затверджені наступні містобудівні документації:</w:t>
      </w:r>
    </w:p>
    <w:p w:rsidR="00426D3B" w:rsidRDefault="00426D3B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92F">
        <w:rPr>
          <w:rFonts w:ascii="Times New Roman" w:hAnsi="Times New Roman"/>
          <w:color w:val="000000"/>
          <w:sz w:val="28"/>
          <w:szCs w:val="28"/>
        </w:rPr>
        <w:t xml:space="preserve">Проект змін до генерального плану міста Червонограда; </w:t>
      </w:r>
    </w:p>
    <w:p w:rsidR="00426D3B" w:rsidRPr="008D092F" w:rsidRDefault="00426D3B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92F">
        <w:rPr>
          <w:rFonts w:ascii="Times New Roman" w:hAnsi="Times New Roman"/>
          <w:color w:val="000000"/>
          <w:sz w:val="28"/>
          <w:szCs w:val="28"/>
        </w:rPr>
        <w:t>Проект змін до плану зонування території міста Червонограда;</w:t>
      </w:r>
    </w:p>
    <w:p w:rsidR="00426D3B" w:rsidRPr="008D092F" w:rsidRDefault="00426D3B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92F">
        <w:rPr>
          <w:rFonts w:ascii="Times New Roman" w:hAnsi="Times New Roman"/>
          <w:color w:val="000000"/>
          <w:sz w:val="28"/>
          <w:szCs w:val="28"/>
        </w:rPr>
        <w:t xml:space="preserve">Детальний план території </w:t>
      </w:r>
      <w:r w:rsidRPr="00BC2366">
        <w:rPr>
          <w:rFonts w:ascii="Times New Roman" w:hAnsi="Times New Roman"/>
          <w:color w:val="000000"/>
          <w:sz w:val="28"/>
          <w:szCs w:val="28"/>
        </w:rPr>
        <w:t>з метою визначення параметрів земельної ділянки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366">
        <w:rPr>
          <w:rFonts w:ascii="Times New Roman" w:hAnsi="Times New Roman"/>
          <w:color w:val="000000"/>
          <w:sz w:val="28"/>
          <w:szCs w:val="28"/>
        </w:rPr>
        <w:t>для будівництва та обслуговування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366">
        <w:rPr>
          <w:rFonts w:ascii="Times New Roman" w:hAnsi="Times New Roman"/>
          <w:color w:val="000000"/>
          <w:sz w:val="28"/>
          <w:szCs w:val="28"/>
        </w:rPr>
        <w:t>виробничих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366">
        <w:rPr>
          <w:rFonts w:ascii="Times New Roman" w:hAnsi="Times New Roman"/>
          <w:color w:val="000000"/>
          <w:sz w:val="28"/>
          <w:szCs w:val="28"/>
        </w:rPr>
        <w:t xml:space="preserve">та складських будівель 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BC2366">
        <w:rPr>
          <w:rFonts w:ascii="Times New Roman" w:hAnsi="Times New Roman"/>
          <w:color w:val="000000"/>
          <w:sz w:val="28"/>
          <w:szCs w:val="28"/>
        </w:rPr>
        <w:t>сел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BC2366">
        <w:rPr>
          <w:rFonts w:ascii="Times New Roman" w:hAnsi="Times New Roman"/>
          <w:color w:val="000000"/>
          <w:sz w:val="28"/>
          <w:szCs w:val="28"/>
        </w:rPr>
        <w:t xml:space="preserve"> Сілець присілок Солтиси (за межами населеного пункту)</w:t>
      </w:r>
      <w:r w:rsidRPr="008D092F">
        <w:t xml:space="preserve"> </w:t>
      </w:r>
      <w:r w:rsidRPr="008D092F">
        <w:rPr>
          <w:rFonts w:ascii="Times New Roman" w:hAnsi="Times New Roman"/>
          <w:color w:val="000000"/>
          <w:sz w:val="28"/>
          <w:szCs w:val="28"/>
        </w:rPr>
        <w:t>Червоноградськ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територіальн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громад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426D3B" w:rsidRPr="000732D2" w:rsidRDefault="00426D3B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2D2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етальний план території </w:t>
      </w:r>
      <w:r w:rsidRPr="000732D2">
        <w:rPr>
          <w:rFonts w:ascii="Times New Roman" w:hAnsi="Times New Roman"/>
          <w:color w:val="000000"/>
          <w:sz w:val="28"/>
          <w:szCs w:val="28"/>
        </w:rPr>
        <w:t>в присілку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2D2">
        <w:rPr>
          <w:rFonts w:ascii="Times New Roman" w:hAnsi="Times New Roman"/>
          <w:color w:val="000000"/>
          <w:sz w:val="28"/>
          <w:szCs w:val="28"/>
        </w:rPr>
        <w:t>Дженджерівка у селі Сілець Червоноградської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0732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6D3B" w:rsidRPr="000732D2" w:rsidRDefault="00426D3B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92F">
        <w:rPr>
          <w:rFonts w:ascii="Times New Roman" w:hAnsi="Times New Roman"/>
          <w:color w:val="000000"/>
          <w:sz w:val="28"/>
          <w:szCs w:val="28"/>
        </w:rPr>
        <w:t>Детальний план території</w:t>
      </w:r>
      <w:r w:rsidRPr="000732D2">
        <w:rPr>
          <w:rFonts w:ascii="Times New Roman" w:hAnsi="Times New Roman"/>
          <w:color w:val="000000"/>
          <w:sz w:val="28"/>
          <w:szCs w:val="28"/>
        </w:rPr>
        <w:t xml:space="preserve"> з метою розташування індустріального парку в присілку Дженджерівка у селі Сілець Червоноградської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громади;</w:t>
      </w:r>
    </w:p>
    <w:p w:rsidR="00426D3B" w:rsidRPr="00F21443" w:rsidRDefault="00426D3B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92F">
        <w:rPr>
          <w:rFonts w:ascii="Times New Roman" w:hAnsi="Times New Roman"/>
          <w:color w:val="000000"/>
          <w:sz w:val="28"/>
          <w:szCs w:val="28"/>
        </w:rPr>
        <w:t xml:space="preserve">Детальний план території </w:t>
      </w:r>
      <w:r w:rsidRPr="000732D2">
        <w:rPr>
          <w:rFonts w:ascii="Times New Roman" w:hAnsi="Times New Roman"/>
          <w:color w:val="000000"/>
          <w:sz w:val="28"/>
          <w:szCs w:val="28"/>
        </w:rPr>
        <w:t>колишньої шахти «Великомостівська №5» в с. Волсвин (за межами населеного пункту) Червоноградської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732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6D3B" w:rsidRPr="00E4008A" w:rsidRDefault="00426D3B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008A">
        <w:rPr>
          <w:rFonts w:ascii="Times New Roman" w:hAnsi="Times New Roman"/>
          <w:color w:val="000000"/>
          <w:sz w:val="28"/>
          <w:szCs w:val="28"/>
        </w:rPr>
        <w:t xml:space="preserve">На стадії </w:t>
      </w:r>
      <w:r>
        <w:rPr>
          <w:rFonts w:ascii="Times New Roman" w:hAnsi="Times New Roman"/>
          <w:color w:val="000000"/>
          <w:sz w:val="28"/>
          <w:szCs w:val="28"/>
        </w:rPr>
        <w:t>затвердження</w:t>
      </w:r>
      <w:r w:rsidRPr="00E4008A">
        <w:rPr>
          <w:rFonts w:ascii="Times New Roman" w:hAnsi="Times New Roman"/>
          <w:color w:val="000000"/>
          <w:sz w:val="28"/>
          <w:szCs w:val="28"/>
        </w:rPr>
        <w:t xml:space="preserve"> знаходиться детальний план території в м. Соснівка, в районі вулиць Козацька,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008A">
        <w:rPr>
          <w:rFonts w:ascii="Times New Roman" w:hAnsi="Times New Roman"/>
          <w:color w:val="000000"/>
          <w:sz w:val="28"/>
          <w:szCs w:val="28"/>
        </w:rPr>
        <w:t>Миру та Садова, який розроблявся з метою реалізації прав мешканців даного району в питанні приватизації земельних ділянок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008A">
        <w:rPr>
          <w:rFonts w:ascii="Times New Roman" w:hAnsi="Times New Roman"/>
          <w:color w:val="000000"/>
          <w:sz w:val="28"/>
          <w:szCs w:val="28"/>
        </w:rPr>
        <w:t>та садибних житлових будинків, оскільки раніше ця територія була за межами населеного пункту. Після змін меж міста Соснівка виникла гостра необхідність в розробці такого детального плану з метою врегулювання питань положень містобудівної діяльності ( нове будівництво, ре</w:t>
      </w:r>
      <w:r>
        <w:rPr>
          <w:rFonts w:ascii="Times New Roman" w:hAnsi="Times New Roman"/>
          <w:color w:val="000000"/>
          <w:sz w:val="28"/>
          <w:szCs w:val="28"/>
        </w:rPr>
        <w:t>конструкція існуючих об'єктів )</w:t>
      </w:r>
      <w:r w:rsidRPr="00E4008A"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008A">
        <w:rPr>
          <w:rFonts w:ascii="Times New Roman" w:hAnsi="Times New Roman"/>
          <w:color w:val="000000"/>
          <w:sz w:val="28"/>
          <w:szCs w:val="28"/>
        </w:rPr>
        <w:t>З метою формування кварталу індивідуальної садибної житлової заб</w:t>
      </w:r>
      <w:r>
        <w:rPr>
          <w:rFonts w:ascii="Times New Roman" w:hAnsi="Times New Roman"/>
          <w:color w:val="000000"/>
          <w:sz w:val="28"/>
          <w:szCs w:val="28"/>
        </w:rPr>
        <w:t>удови розроблено Детальний план</w:t>
      </w:r>
      <w:r w:rsidRPr="00E4008A">
        <w:rPr>
          <w:rFonts w:ascii="Times New Roman" w:hAnsi="Times New Roman"/>
          <w:color w:val="000000"/>
          <w:sz w:val="28"/>
          <w:szCs w:val="28"/>
        </w:rPr>
        <w:t xml:space="preserve"> території садибної забудови в південній частині села Рудка, в межах якого пропонується розміщення 335 індивідуальних житлових будинків з присадибними ділянками, площею 0,06 – 0,1 га.</w:t>
      </w:r>
    </w:p>
    <w:p w:rsidR="00426D3B" w:rsidRDefault="00426D3B" w:rsidP="00D03B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Розроблені звіти про стратегічну екологічну оцінку до проектів вищезазначеної містобудівної документації</w:t>
      </w:r>
      <w:r w:rsidRPr="000732D2"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344A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Розроблені зміни до генерального плану та зонінгу, а також </w:t>
      </w:r>
      <w:r w:rsidRPr="00EF2AE0">
        <w:rPr>
          <w:rFonts w:ascii="Times New Roman" w:hAnsi="Times New Roman"/>
          <w:color w:val="000000"/>
          <w:sz w:val="28"/>
          <w:szCs w:val="28"/>
        </w:rPr>
        <w:t>детальні плани сприятимуть реалізації програм економічного і соціального розвитку територій. На підставі затвердженої містобудівної документації  будуть відведені земельні ділянки, що дасть можливість замовникам отримати дозвіл на проектування та будівництво об’єктів містобудування. Детальні плани території розроблені з врахуванням генеральних  планів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344A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411F">
        <w:rPr>
          <w:rFonts w:ascii="Times New Roman" w:hAnsi="Times New Roman"/>
          <w:color w:val="000000"/>
          <w:sz w:val="28"/>
          <w:szCs w:val="28"/>
        </w:rPr>
        <w:t>Окрім того,</w:t>
      </w:r>
      <w:r w:rsidRPr="0084411F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Червоноградською міською</w:t>
      </w:r>
      <w:r w:rsidRPr="0084411F">
        <w:rPr>
          <w:rFonts w:ascii="Times New Roman" w:hAnsi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 w:rsidRPr="0084411F">
        <w:rPr>
          <w:rFonts w:ascii="Times New Roman" w:hAnsi="Times New Roman"/>
          <w:color w:val="000000"/>
          <w:sz w:val="28"/>
          <w:szCs w:val="28"/>
        </w:rPr>
        <w:t xml:space="preserve"> прийнято рішення від 27.01.2022 №1057 «Про розроблення Комплексного плану </w:t>
      </w:r>
      <w:r>
        <w:rPr>
          <w:rFonts w:ascii="Times New Roman" w:hAnsi="Times New Roman"/>
          <w:color w:val="000000"/>
          <w:sz w:val="28"/>
          <w:szCs w:val="28"/>
        </w:rPr>
        <w:t xml:space="preserve"> просторового розвитку території Червоноградської міської територіальної громади Червоноградського району Львівської області» та ряду детальних планів території, як в межах, так і за межами населених пунктів.</w:t>
      </w:r>
    </w:p>
    <w:p w:rsidR="00426D3B" w:rsidRDefault="00426D3B" w:rsidP="00D03B0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Pr="008B37C1" w:rsidRDefault="00426D3B" w:rsidP="008B37C1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45CE0">
        <w:rPr>
          <w:rFonts w:ascii="Times New Roman" w:hAnsi="Times New Roman"/>
          <w:b/>
          <w:i/>
          <w:color w:val="000000"/>
          <w:sz w:val="28"/>
          <w:szCs w:val="28"/>
        </w:rPr>
        <w:t>Розділ 10. «Висновки щодо доцільності внесення змін до містобудівної документації»</w:t>
      </w:r>
    </w:p>
    <w:p w:rsidR="00426D3B" w:rsidRDefault="00426D3B" w:rsidP="00A55EB6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Розроблена містобудівна документація спрямована на забезпечення економічного зростання, соціальної справедливості та раціонального природокористування, 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B6">
        <w:rPr>
          <w:rFonts w:ascii="Times New Roman" w:hAnsi="Times New Roman"/>
          <w:color w:val="000000"/>
          <w:sz w:val="28"/>
          <w:szCs w:val="28"/>
        </w:rPr>
        <w:t>до визначених Цілей Сталого Розвитку ООН.</w:t>
      </w:r>
    </w:p>
    <w:p w:rsidR="00426D3B" w:rsidRDefault="00426D3B" w:rsidP="00A55EB6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Сильні та слабкі сторони розвитку території</w:t>
      </w:r>
      <w:r w:rsidRPr="00987E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Червоноградської  територіальної громади</w:t>
      </w:r>
      <w:r w:rsidRPr="00A55EB6">
        <w:rPr>
          <w:rFonts w:ascii="Times New Roman" w:hAnsi="Times New Roman"/>
          <w:color w:val="000000"/>
          <w:sz w:val="28"/>
          <w:szCs w:val="28"/>
        </w:rPr>
        <w:t>, можливості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B6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B6">
        <w:rPr>
          <w:rFonts w:ascii="Times New Roman" w:hAnsi="Times New Roman"/>
          <w:color w:val="000000"/>
          <w:sz w:val="28"/>
          <w:szCs w:val="28"/>
        </w:rPr>
        <w:t>загрози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B6">
        <w:rPr>
          <w:rFonts w:ascii="Times New Roman" w:hAnsi="Times New Roman"/>
          <w:color w:val="000000"/>
          <w:sz w:val="28"/>
          <w:szCs w:val="28"/>
        </w:rPr>
        <w:t>(SWOT-аналіз),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B6">
        <w:rPr>
          <w:rFonts w:ascii="Times New Roman" w:hAnsi="Times New Roman"/>
          <w:color w:val="000000"/>
          <w:sz w:val="28"/>
          <w:szCs w:val="28"/>
        </w:rPr>
        <w:t>викладені у Стратегії розвитку</w:t>
      </w:r>
      <w:r>
        <w:rPr>
          <w:rFonts w:ascii="Times New Roman" w:hAnsi="Times New Roman"/>
          <w:color w:val="000000"/>
          <w:sz w:val="28"/>
          <w:szCs w:val="28"/>
        </w:rPr>
        <w:t xml:space="preserve"> Червоноградської територіальної громади</w:t>
      </w:r>
      <w:r w:rsidRPr="00A55EB6"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0B2790">
      <w:pPr>
        <w:pStyle w:val="ListParagraph"/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C0">
        <w:rPr>
          <w:rFonts w:ascii="Times New Roman" w:hAnsi="Times New Roman"/>
          <w:color w:val="000000"/>
          <w:sz w:val="28"/>
          <w:szCs w:val="28"/>
        </w:rPr>
        <w:t>Зокрема, сильними сторонами 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7EC0">
        <w:rPr>
          <w:rFonts w:ascii="Times New Roman" w:hAnsi="Times New Roman"/>
          <w:color w:val="000000"/>
          <w:sz w:val="28"/>
          <w:szCs w:val="28"/>
        </w:rPr>
        <w:t>: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Забезпеченість кваліфікованими трудовими ресурсами в межах міста та добра доступність у радіусі 15 км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Наявність місцевих природних ресурсів (вугілля)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Сформований імідж потужного гірничо-промислового центру на півночі області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Розвинена легка, меблева та харчова промисловість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Розвинена сфера послуг і торгівлі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Наявність вільних земельних ділянок, компактних промислових зон, цікавих для інвестора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Наявність земель для с/г виробництва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Вигідне географічне положення (близькість до кордону ЄС, відносно близько до великого міста – обласного центру Львів)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Розвинена транспортна інфраструктура (автошляхи та залізниця)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Розвинена соціально-культурна інфраструктура (мережа спортивних закладів, закладів культури, дошкільної та середньої освіти, охорони здоров’я)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Високий порівняно із середнім по Україні/Львівській області рівень середньої заробітної плати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Наявність пам’яток історії та культури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987EC0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C0">
        <w:rPr>
          <w:rFonts w:ascii="Times New Roman" w:hAnsi="Times New Roman"/>
          <w:color w:val="000000"/>
          <w:sz w:val="28"/>
          <w:szCs w:val="28"/>
        </w:rPr>
        <w:t>Слабкими сторонами є</w:t>
      </w:r>
      <w:r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Відсутність інфраструктури підтримки підприємництва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Збитковість підприємств вугільної галузі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Наявність відкритих відвалів породи (териконів), що негативно впливає на екологічний стан у місті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Негативний вплив шахтних виробіток</w:t>
      </w:r>
      <w:r>
        <w:rPr>
          <w:rFonts w:ascii="Times New Roman" w:hAnsi="Times New Roman"/>
          <w:color w:val="000000"/>
          <w:sz w:val="28"/>
          <w:szCs w:val="28"/>
        </w:rPr>
        <w:t xml:space="preserve"> та плавунів</w:t>
      </w:r>
      <w:r w:rsidRPr="00A55EB6">
        <w:rPr>
          <w:rFonts w:ascii="Times New Roman" w:hAnsi="Times New Roman"/>
          <w:color w:val="000000"/>
          <w:sz w:val="28"/>
          <w:szCs w:val="28"/>
        </w:rPr>
        <w:t xml:space="preserve"> на інженерні комунікації та забудову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 xml:space="preserve">Низький рівень інвестицій у </w:t>
      </w:r>
      <w:r>
        <w:rPr>
          <w:rFonts w:ascii="Times New Roman" w:hAnsi="Times New Roman"/>
          <w:color w:val="000000"/>
          <w:sz w:val="28"/>
          <w:szCs w:val="28"/>
        </w:rPr>
        <w:t>громаду;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Відсутність достатньої кількості робочих місць для молоді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Недостатня якість дорожньо-транспортної інфраструктури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Зношеність комунальної, інженерної інфраструктури (старий житловий фонд та комунікації - відтягується значні кошти з бюджету)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Безробіття, трудова міграція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A55EB6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Невідповідність пропозицій на ринку праці запитам бізнесу (бізнес відчуває брак спеціалістів робітничих професій: кранівників, пекарів, кухарів, тощо)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Default="00426D3B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Значна частка пенсіонерів серед населення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824357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Шансом для громади є :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Реалізація програми трансформації вугільної галузі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Активізація міжнародного співробітництва -  логістичний центр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Розвиток туризму півночі Львівщини (індустріальний, культурний, спортивний)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Зростання зацікавленості інвесторів у розвитку зеленої енергетики (сонячна, вітрова, компост, сортування сміття)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Зростання попиту на екологічн</w:t>
      </w:r>
      <w:r>
        <w:rPr>
          <w:rFonts w:ascii="Times New Roman" w:hAnsi="Times New Roman"/>
          <w:color w:val="000000"/>
          <w:sz w:val="28"/>
          <w:szCs w:val="28"/>
        </w:rPr>
        <w:t>у органічну продукцію в регіоні;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Відновлення роботи ПАТ «Зміна», як під</w:t>
      </w:r>
      <w:r>
        <w:rPr>
          <w:rFonts w:ascii="Times New Roman" w:hAnsi="Times New Roman"/>
          <w:color w:val="000000"/>
          <w:sz w:val="28"/>
          <w:szCs w:val="28"/>
        </w:rPr>
        <w:t>приємства оборонного комплексу;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Зацікавленість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2FE">
        <w:rPr>
          <w:rFonts w:ascii="Times New Roman" w:hAnsi="Times New Roman"/>
          <w:color w:val="000000"/>
          <w:sz w:val="28"/>
          <w:szCs w:val="28"/>
        </w:rPr>
        <w:t>ІТ-спеціалістів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2FE">
        <w:rPr>
          <w:rFonts w:ascii="Times New Roman" w:hAnsi="Times New Roman"/>
          <w:color w:val="000000"/>
          <w:sz w:val="28"/>
          <w:szCs w:val="28"/>
        </w:rPr>
        <w:t>відкривати бі</w:t>
      </w:r>
      <w:r>
        <w:rPr>
          <w:rFonts w:ascii="Times New Roman" w:hAnsi="Times New Roman"/>
          <w:color w:val="000000"/>
          <w:sz w:val="28"/>
          <w:szCs w:val="28"/>
        </w:rPr>
        <w:t>знес в Червоноградській громаді;</w:t>
      </w:r>
    </w:p>
    <w:p w:rsidR="00426D3B" w:rsidRPr="007042FE" w:rsidRDefault="00426D3B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Формування надрайонного медичного центру в громаді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2FE">
        <w:rPr>
          <w:rFonts w:ascii="Times New Roman" w:hAnsi="Times New Roman"/>
          <w:color w:val="000000"/>
          <w:sz w:val="28"/>
          <w:szCs w:val="28"/>
        </w:rPr>
        <w:t>Відкриття нових міжнародних транспортних переходів на відстані 15-20 км (м. Белз та с. Вар’яж Сокальського району)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306733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Загрозами для громади є :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Погіршання інвестиційного клімату в Україні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Згортання діяльності вугледобувних підприємств без державної підтримки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Відтік робочої сили за кордон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Можливі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733">
        <w:rPr>
          <w:rFonts w:ascii="Times New Roman" w:hAnsi="Times New Roman"/>
          <w:color w:val="000000"/>
          <w:sz w:val="28"/>
          <w:szCs w:val="28"/>
        </w:rPr>
        <w:t>техногенні та екологічні надзвичайні ситуації, пов’язані з діяльністю або бездіяльністю шахт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Перекладання державних повноважень на громади без відповідного фінансового забезпечення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Можливе стрімке збільшення тарифів на комунальні послуги та енергоносії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Подальше старіння населення та можливі пов’язані з цим додаткові соціальні видатки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Pr="00306733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Можливі аварії в системі комунального господарства через значний рівень фізичного та морального зносу комунальних систем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6D3B" w:rsidRDefault="00426D3B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6733">
        <w:rPr>
          <w:rFonts w:ascii="Times New Roman" w:hAnsi="Times New Roman"/>
          <w:color w:val="000000"/>
          <w:sz w:val="28"/>
          <w:szCs w:val="28"/>
        </w:rPr>
        <w:t>Посилення конкуренції між громадами за  людські та фінансові ресурси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6D3B" w:rsidRDefault="00426D3B" w:rsidP="00987EC0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7EC0">
        <w:rPr>
          <w:rFonts w:ascii="Times New Roman" w:hAnsi="Times New Roman"/>
          <w:color w:val="000000"/>
          <w:sz w:val="28"/>
          <w:szCs w:val="28"/>
        </w:rPr>
        <w:t>Значними ризиками для громади є зміни в законодавстві в частині зменшення надходжень до бюджету громади, зростання безробіття, Covid-19, війна з Росією.</w:t>
      </w:r>
    </w:p>
    <w:p w:rsidR="00426D3B" w:rsidRDefault="00426D3B" w:rsidP="00FB1B79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Pr="00645CE0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7EC0">
        <w:rPr>
          <w:rFonts w:ascii="Times New Roman" w:hAnsi="Times New Roman"/>
          <w:b/>
          <w:color w:val="000000"/>
          <w:sz w:val="28"/>
          <w:szCs w:val="28"/>
        </w:rPr>
        <w:t>Обґрунтування необхідності внесення змін у містобудівну документацію за результатами містобудівного моніторингу.</w:t>
      </w:r>
    </w:p>
    <w:p w:rsidR="00426D3B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Враховуючи наявність достатньої кількості нової та оновленої  містобудівної документації на місцевому рівні, а також тієї, що перебуває у розробленні, рахуємо, що потреби у виготовлені нової документації (окрім </w:t>
      </w:r>
      <w:r w:rsidRPr="0084411F">
        <w:rPr>
          <w:rFonts w:ascii="Times New Roman" w:hAnsi="Times New Roman"/>
          <w:color w:val="000000"/>
          <w:sz w:val="28"/>
          <w:szCs w:val="28"/>
        </w:rPr>
        <w:t xml:space="preserve">Комплексного плану </w:t>
      </w:r>
      <w:r>
        <w:rPr>
          <w:rFonts w:ascii="Times New Roman" w:hAnsi="Times New Roman"/>
          <w:color w:val="000000"/>
          <w:sz w:val="28"/>
          <w:szCs w:val="28"/>
        </w:rPr>
        <w:t xml:space="preserve"> просторового розвитку території громади та внесення змін в наявну) немає.</w:t>
      </w:r>
    </w:p>
    <w:p w:rsidR="00426D3B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метою забезпечення сталого розвитку територіальної громади, на виконання Законів України </w:t>
      </w:r>
      <w:r w:rsidRPr="00FB1B79">
        <w:rPr>
          <w:rFonts w:ascii="Times New Roman" w:hAnsi="Times New Roman"/>
          <w:color w:val="000000"/>
          <w:sz w:val="28"/>
          <w:szCs w:val="28"/>
        </w:rPr>
        <w:t xml:space="preserve">«Про регулювання містобудівної діяльності», </w:t>
      </w:r>
      <w:r>
        <w:rPr>
          <w:rFonts w:ascii="Times New Roman" w:hAnsi="Times New Roman"/>
          <w:color w:val="000000"/>
          <w:sz w:val="28"/>
          <w:szCs w:val="28"/>
        </w:rPr>
        <w:t xml:space="preserve">«Про основи містобудування», </w:t>
      </w:r>
      <w:r w:rsidRPr="00FB1B79">
        <w:rPr>
          <w:rFonts w:ascii="Times New Roman" w:hAnsi="Times New Roman"/>
          <w:color w:val="000000"/>
          <w:sz w:val="28"/>
          <w:szCs w:val="28"/>
        </w:rPr>
        <w:t>«Про стратегічну екологічну оцінку»,</w:t>
      </w:r>
      <w:r w:rsidRPr="00D754C6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Постанови </w:t>
      </w:r>
      <w:r w:rsidRPr="00D754C6">
        <w:rPr>
          <w:rFonts w:ascii="Times New Roman" w:hAnsi="Times New Roman"/>
          <w:color w:val="000000"/>
          <w:sz w:val="28"/>
          <w:szCs w:val="28"/>
        </w:rPr>
        <w:t xml:space="preserve">Кабінету Міністрів України від 28.07.20021 року N°853 «Деякі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громад», </w:t>
      </w:r>
      <w:r>
        <w:rPr>
          <w:rFonts w:ascii="Times New Roman" w:hAnsi="Times New Roman"/>
          <w:color w:val="000000"/>
          <w:sz w:val="28"/>
          <w:szCs w:val="28"/>
        </w:rPr>
        <w:t xml:space="preserve">враховуючи </w:t>
      </w:r>
      <w:r w:rsidRPr="00D754C6">
        <w:rPr>
          <w:rFonts w:ascii="Times New Roman" w:hAnsi="Times New Roman"/>
          <w:color w:val="000000"/>
          <w:sz w:val="28"/>
          <w:szCs w:val="28"/>
        </w:rPr>
        <w:t>Постанов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754C6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України, від 01.09.2021 року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D754C6">
        <w:rPr>
          <w:rFonts w:ascii="Times New Roman" w:hAnsi="Times New Roman"/>
          <w:color w:val="000000"/>
          <w:sz w:val="28"/>
          <w:szCs w:val="28"/>
        </w:rPr>
        <w:t xml:space="preserve">926 «Про затвердження порядку розроблення, оновлення, внесення змін та затвердження містобудівної документації», </w:t>
      </w:r>
      <w:r>
        <w:rPr>
          <w:rFonts w:ascii="Times New Roman" w:hAnsi="Times New Roman"/>
          <w:color w:val="000000"/>
          <w:sz w:val="28"/>
          <w:szCs w:val="28"/>
        </w:rPr>
        <w:t xml:space="preserve">Червоноградською міською радою </w:t>
      </w:r>
      <w:r w:rsidRPr="00B04E78">
        <w:rPr>
          <w:rFonts w:ascii="Times New Roman" w:hAnsi="Times New Roman"/>
          <w:color w:val="000000"/>
          <w:sz w:val="28"/>
          <w:szCs w:val="28"/>
        </w:rPr>
        <w:t>прийнято рішення від 27.01.2022 №1057 «Про розроблення Комплексного плану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просторового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розвитку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території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Червоноградської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міської територіальної громади Червоноградського району Львівської області».</w:t>
      </w:r>
    </w:p>
    <w:p w:rsidR="00426D3B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04E78">
        <w:rPr>
          <w:rFonts w:ascii="Times New Roman" w:hAnsi="Times New Roman"/>
          <w:color w:val="000000"/>
          <w:sz w:val="28"/>
          <w:szCs w:val="28"/>
        </w:rPr>
        <w:t>Для розроблення комплексного плану пр</w:t>
      </w:r>
      <w:r>
        <w:rPr>
          <w:rFonts w:ascii="Times New Roman" w:hAnsi="Times New Roman"/>
          <w:color w:val="000000"/>
          <w:sz w:val="28"/>
          <w:szCs w:val="28"/>
        </w:rPr>
        <w:t>осторового  розвитку  території</w:t>
      </w:r>
      <w:r w:rsidRPr="00B04E78">
        <w:rPr>
          <w:rFonts w:ascii="Times New Roman" w:hAnsi="Times New Roman"/>
          <w:color w:val="000000"/>
          <w:sz w:val="28"/>
          <w:szCs w:val="28"/>
        </w:rPr>
        <w:t>, в першу чергу, необхідно виконати топографо-геодезичне знімання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території Червоноградської територіальної громади з нанесенням меж населених пунктів та провести інвентаризацію земель.</w:t>
      </w:r>
    </w:p>
    <w:p w:rsidR="00426D3B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Default="00426D3B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Default="00426D3B" w:rsidP="00B04E78">
      <w:pPr>
        <w:pStyle w:val="ListParagraph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B04E78">
        <w:rPr>
          <w:rFonts w:ascii="Times New Roman" w:hAnsi="Times New Roman"/>
          <w:b/>
          <w:color w:val="000000"/>
          <w:sz w:val="28"/>
          <w:szCs w:val="28"/>
        </w:rPr>
        <w:t xml:space="preserve">ачальник відділу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</w:p>
    <w:p w:rsidR="00426D3B" w:rsidRPr="00B04E78" w:rsidRDefault="00426D3B" w:rsidP="00B04E78">
      <w:pPr>
        <w:pStyle w:val="ListParagraph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4E78">
        <w:rPr>
          <w:rFonts w:ascii="Times New Roman" w:hAnsi="Times New Roman"/>
          <w:b/>
          <w:color w:val="000000"/>
          <w:sz w:val="28"/>
          <w:szCs w:val="28"/>
        </w:rPr>
        <w:t>архітектури  та містобудування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Ю. Фігар</w:t>
      </w:r>
    </w:p>
    <w:p w:rsidR="00426D3B" w:rsidRDefault="00426D3B" w:rsidP="00FB1B79">
      <w:pPr>
        <w:pStyle w:val="ListParagraph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Default="00426D3B" w:rsidP="00D03B08">
      <w:pPr>
        <w:pStyle w:val="ListParagraph"/>
        <w:spacing w:after="0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D3B" w:rsidRPr="00E507EB" w:rsidRDefault="00426D3B" w:rsidP="00E507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26D3B" w:rsidRPr="00E507EB" w:rsidSect="005E43B8">
      <w:pgSz w:w="11906" w:h="16838"/>
      <w:pgMar w:top="85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3B9"/>
    <w:multiLevelType w:val="hybridMultilevel"/>
    <w:tmpl w:val="B2EC93EE"/>
    <w:lvl w:ilvl="0" w:tplc="13225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CE2133"/>
    <w:multiLevelType w:val="hybridMultilevel"/>
    <w:tmpl w:val="94260190"/>
    <w:lvl w:ilvl="0" w:tplc="6846D09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34FEA"/>
    <w:multiLevelType w:val="hybridMultilevel"/>
    <w:tmpl w:val="E2BE1780"/>
    <w:lvl w:ilvl="0" w:tplc="6846D094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8348A1"/>
    <w:multiLevelType w:val="hybridMultilevel"/>
    <w:tmpl w:val="05529E9A"/>
    <w:lvl w:ilvl="0" w:tplc="6846D094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201154B1"/>
    <w:multiLevelType w:val="hybridMultilevel"/>
    <w:tmpl w:val="BD2CE53E"/>
    <w:lvl w:ilvl="0" w:tplc="6846D09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2B0150"/>
    <w:multiLevelType w:val="hybridMultilevel"/>
    <w:tmpl w:val="0C323084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AD31223"/>
    <w:multiLevelType w:val="hybridMultilevel"/>
    <w:tmpl w:val="FB0C83C6"/>
    <w:lvl w:ilvl="0" w:tplc="26E2019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7">
    <w:nsid w:val="2D8C05A0"/>
    <w:multiLevelType w:val="hybridMultilevel"/>
    <w:tmpl w:val="8222D424"/>
    <w:lvl w:ilvl="0" w:tplc="61D23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D1505D"/>
    <w:multiLevelType w:val="hybridMultilevel"/>
    <w:tmpl w:val="A98AC238"/>
    <w:lvl w:ilvl="0" w:tplc="6846D094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B310868"/>
    <w:multiLevelType w:val="hybridMultilevel"/>
    <w:tmpl w:val="27007822"/>
    <w:lvl w:ilvl="0" w:tplc="6846D0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0607"/>
    <w:multiLevelType w:val="hybridMultilevel"/>
    <w:tmpl w:val="ED5C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56053B"/>
    <w:multiLevelType w:val="hybridMultilevel"/>
    <w:tmpl w:val="3B7C796E"/>
    <w:lvl w:ilvl="0" w:tplc="0FB84616">
      <w:start w:val="1"/>
      <w:numFmt w:val="decimal"/>
      <w:lvlText w:val="%1."/>
      <w:lvlJc w:val="left"/>
      <w:pPr>
        <w:ind w:left="2123" w:hanging="91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C593115"/>
    <w:multiLevelType w:val="hybridMultilevel"/>
    <w:tmpl w:val="E8885616"/>
    <w:lvl w:ilvl="0" w:tplc="67408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C2BF4"/>
    <w:multiLevelType w:val="hybridMultilevel"/>
    <w:tmpl w:val="B8B2134A"/>
    <w:lvl w:ilvl="0" w:tplc="6846D094">
      <w:start w:val="3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DD357E"/>
    <w:multiLevelType w:val="hybridMultilevel"/>
    <w:tmpl w:val="558EB8E2"/>
    <w:lvl w:ilvl="0" w:tplc="DCA41D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3213898"/>
    <w:multiLevelType w:val="hybridMultilevel"/>
    <w:tmpl w:val="B65EAAC4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640F5D09"/>
    <w:multiLevelType w:val="hybridMultilevel"/>
    <w:tmpl w:val="CCB4BD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012521"/>
    <w:multiLevelType w:val="hybridMultilevel"/>
    <w:tmpl w:val="3B1AC392"/>
    <w:lvl w:ilvl="0" w:tplc="6846D094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766E3E46"/>
    <w:multiLevelType w:val="hybridMultilevel"/>
    <w:tmpl w:val="1D44148C"/>
    <w:lvl w:ilvl="0" w:tplc="D0A03128">
      <w:start w:val="1"/>
      <w:numFmt w:val="decimal"/>
      <w:lvlText w:val="%1."/>
      <w:lvlJc w:val="left"/>
      <w:pPr>
        <w:ind w:left="283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9">
    <w:nsid w:val="7F0E02A2"/>
    <w:multiLevelType w:val="hybridMultilevel"/>
    <w:tmpl w:val="6BF2BF74"/>
    <w:lvl w:ilvl="0" w:tplc="6846D094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7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9"/>
  </w:num>
  <w:num w:numId="12">
    <w:abstractNumId w:val="1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8"/>
  </w:num>
  <w:num w:numId="18">
    <w:abstractNumId w:val="7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7EB"/>
    <w:rsid w:val="00004DF4"/>
    <w:rsid w:val="000221E4"/>
    <w:rsid w:val="00034B30"/>
    <w:rsid w:val="00043B09"/>
    <w:rsid w:val="0005434B"/>
    <w:rsid w:val="00067436"/>
    <w:rsid w:val="0007270F"/>
    <w:rsid w:val="000732D2"/>
    <w:rsid w:val="0007397A"/>
    <w:rsid w:val="0007697A"/>
    <w:rsid w:val="00092B7B"/>
    <w:rsid w:val="000937DE"/>
    <w:rsid w:val="000A26CF"/>
    <w:rsid w:val="000A6021"/>
    <w:rsid w:val="000B2790"/>
    <w:rsid w:val="000C4538"/>
    <w:rsid w:val="000D3922"/>
    <w:rsid w:val="000D5F45"/>
    <w:rsid w:val="001038D5"/>
    <w:rsid w:val="001131F8"/>
    <w:rsid w:val="00124431"/>
    <w:rsid w:val="001421E6"/>
    <w:rsid w:val="00143BBD"/>
    <w:rsid w:val="0014446C"/>
    <w:rsid w:val="00152083"/>
    <w:rsid w:val="001528F8"/>
    <w:rsid w:val="00157258"/>
    <w:rsid w:val="001771C0"/>
    <w:rsid w:val="00177DE2"/>
    <w:rsid w:val="00182690"/>
    <w:rsid w:val="00187A96"/>
    <w:rsid w:val="0019478E"/>
    <w:rsid w:val="001B037B"/>
    <w:rsid w:val="001B1282"/>
    <w:rsid w:val="001B6AD7"/>
    <w:rsid w:val="001C4F6A"/>
    <w:rsid w:val="001E33AF"/>
    <w:rsid w:val="001F06C1"/>
    <w:rsid w:val="0020782C"/>
    <w:rsid w:val="00235D91"/>
    <w:rsid w:val="00247B43"/>
    <w:rsid w:val="00271AB5"/>
    <w:rsid w:val="002775B7"/>
    <w:rsid w:val="0028035A"/>
    <w:rsid w:val="0028043E"/>
    <w:rsid w:val="002912D1"/>
    <w:rsid w:val="002928C7"/>
    <w:rsid w:val="002C00F8"/>
    <w:rsid w:val="002C3808"/>
    <w:rsid w:val="002D08A4"/>
    <w:rsid w:val="002D7D27"/>
    <w:rsid w:val="002E1406"/>
    <w:rsid w:val="002F0BA5"/>
    <w:rsid w:val="0030139F"/>
    <w:rsid w:val="00306733"/>
    <w:rsid w:val="00307D01"/>
    <w:rsid w:val="00311B1F"/>
    <w:rsid w:val="00315C98"/>
    <w:rsid w:val="00321A09"/>
    <w:rsid w:val="00327086"/>
    <w:rsid w:val="003379B2"/>
    <w:rsid w:val="00344AF9"/>
    <w:rsid w:val="00345071"/>
    <w:rsid w:val="00346978"/>
    <w:rsid w:val="00350577"/>
    <w:rsid w:val="00367775"/>
    <w:rsid w:val="003729CC"/>
    <w:rsid w:val="00373580"/>
    <w:rsid w:val="00385288"/>
    <w:rsid w:val="00391FE7"/>
    <w:rsid w:val="003A2077"/>
    <w:rsid w:val="003B1D35"/>
    <w:rsid w:val="003B763F"/>
    <w:rsid w:val="003C3BA4"/>
    <w:rsid w:val="00404C34"/>
    <w:rsid w:val="00411A12"/>
    <w:rsid w:val="004137D9"/>
    <w:rsid w:val="00414E82"/>
    <w:rsid w:val="00426D3B"/>
    <w:rsid w:val="004334C3"/>
    <w:rsid w:val="004342E0"/>
    <w:rsid w:val="00434F8C"/>
    <w:rsid w:val="00440FE7"/>
    <w:rsid w:val="0044163D"/>
    <w:rsid w:val="00482C2A"/>
    <w:rsid w:val="00497931"/>
    <w:rsid w:val="004B5458"/>
    <w:rsid w:val="004E0D6E"/>
    <w:rsid w:val="004F21ED"/>
    <w:rsid w:val="00502847"/>
    <w:rsid w:val="00513D2D"/>
    <w:rsid w:val="0051711E"/>
    <w:rsid w:val="00537E1C"/>
    <w:rsid w:val="00545512"/>
    <w:rsid w:val="00557A38"/>
    <w:rsid w:val="0057321A"/>
    <w:rsid w:val="005768E7"/>
    <w:rsid w:val="00582483"/>
    <w:rsid w:val="00584D05"/>
    <w:rsid w:val="00590FD9"/>
    <w:rsid w:val="005A634D"/>
    <w:rsid w:val="005B50F3"/>
    <w:rsid w:val="005B5B87"/>
    <w:rsid w:val="005C29A9"/>
    <w:rsid w:val="005D2EE5"/>
    <w:rsid w:val="005D4A06"/>
    <w:rsid w:val="005E43B8"/>
    <w:rsid w:val="005F588F"/>
    <w:rsid w:val="00611D56"/>
    <w:rsid w:val="00611E20"/>
    <w:rsid w:val="00617E62"/>
    <w:rsid w:val="00635C06"/>
    <w:rsid w:val="00645CE0"/>
    <w:rsid w:val="00653EC4"/>
    <w:rsid w:val="006639C9"/>
    <w:rsid w:val="0066413B"/>
    <w:rsid w:val="00694D97"/>
    <w:rsid w:val="006B03B8"/>
    <w:rsid w:val="006B1135"/>
    <w:rsid w:val="006B2FBA"/>
    <w:rsid w:val="006D207E"/>
    <w:rsid w:val="006D48D5"/>
    <w:rsid w:val="006D6B29"/>
    <w:rsid w:val="006D7A16"/>
    <w:rsid w:val="006F00C4"/>
    <w:rsid w:val="00702238"/>
    <w:rsid w:val="007042FE"/>
    <w:rsid w:val="00705DB9"/>
    <w:rsid w:val="0070614D"/>
    <w:rsid w:val="007068FE"/>
    <w:rsid w:val="00723769"/>
    <w:rsid w:val="0072393C"/>
    <w:rsid w:val="00755406"/>
    <w:rsid w:val="00764747"/>
    <w:rsid w:val="00766B88"/>
    <w:rsid w:val="007753E4"/>
    <w:rsid w:val="00775E10"/>
    <w:rsid w:val="007823D9"/>
    <w:rsid w:val="0078499E"/>
    <w:rsid w:val="00790512"/>
    <w:rsid w:val="00791542"/>
    <w:rsid w:val="007A1EBE"/>
    <w:rsid w:val="007A4344"/>
    <w:rsid w:val="007B34D9"/>
    <w:rsid w:val="007C13F0"/>
    <w:rsid w:val="007C41A6"/>
    <w:rsid w:val="007C5992"/>
    <w:rsid w:val="007E0057"/>
    <w:rsid w:val="007F07F2"/>
    <w:rsid w:val="007F124B"/>
    <w:rsid w:val="00824357"/>
    <w:rsid w:val="00837E35"/>
    <w:rsid w:val="008439E8"/>
    <w:rsid w:val="0084411F"/>
    <w:rsid w:val="00863DB0"/>
    <w:rsid w:val="008737CC"/>
    <w:rsid w:val="00892821"/>
    <w:rsid w:val="00896D2B"/>
    <w:rsid w:val="008B02F3"/>
    <w:rsid w:val="008B1AAC"/>
    <w:rsid w:val="008B37C1"/>
    <w:rsid w:val="008B4EFC"/>
    <w:rsid w:val="008C13A1"/>
    <w:rsid w:val="008D092F"/>
    <w:rsid w:val="00905B3A"/>
    <w:rsid w:val="00911041"/>
    <w:rsid w:val="00914ABC"/>
    <w:rsid w:val="00915E78"/>
    <w:rsid w:val="00921741"/>
    <w:rsid w:val="00923DDC"/>
    <w:rsid w:val="00933F8A"/>
    <w:rsid w:val="0098597A"/>
    <w:rsid w:val="00987EC0"/>
    <w:rsid w:val="009927D7"/>
    <w:rsid w:val="009950D7"/>
    <w:rsid w:val="009A05FE"/>
    <w:rsid w:val="009A42D1"/>
    <w:rsid w:val="009B5D3A"/>
    <w:rsid w:val="009C729A"/>
    <w:rsid w:val="009D51D9"/>
    <w:rsid w:val="009F5679"/>
    <w:rsid w:val="00A1368B"/>
    <w:rsid w:val="00A22003"/>
    <w:rsid w:val="00A25DEC"/>
    <w:rsid w:val="00A35BB9"/>
    <w:rsid w:val="00A46E51"/>
    <w:rsid w:val="00A55EB6"/>
    <w:rsid w:val="00A608B1"/>
    <w:rsid w:val="00A876D4"/>
    <w:rsid w:val="00A91430"/>
    <w:rsid w:val="00A92C36"/>
    <w:rsid w:val="00AB35EC"/>
    <w:rsid w:val="00AE5B9D"/>
    <w:rsid w:val="00AE6133"/>
    <w:rsid w:val="00AF3414"/>
    <w:rsid w:val="00AF6BE2"/>
    <w:rsid w:val="00B04E78"/>
    <w:rsid w:val="00B05A0A"/>
    <w:rsid w:val="00B07C19"/>
    <w:rsid w:val="00B1270A"/>
    <w:rsid w:val="00B262FF"/>
    <w:rsid w:val="00B46CC4"/>
    <w:rsid w:val="00B62EA5"/>
    <w:rsid w:val="00B71A96"/>
    <w:rsid w:val="00B828CF"/>
    <w:rsid w:val="00BB1579"/>
    <w:rsid w:val="00BC0293"/>
    <w:rsid w:val="00BC2366"/>
    <w:rsid w:val="00BD2525"/>
    <w:rsid w:val="00BF76C9"/>
    <w:rsid w:val="00C11A53"/>
    <w:rsid w:val="00C234BF"/>
    <w:rsid w:val="00C51C5E"/>
    <w:rsid w:val="00C51C62"/>
    <w:rsid w:val="00C7109F"/>
    <w:rsid w:val="00C825CA"/>
    <w:rsid w:val="00CA080F"/>
    <w:rsid w:val="00CA15A2"/>
    <w:rsid w:val="00CC563E"/>
    <w:rsid w:val="00CD7C37"/>
    <w:rsid w:val="00CE0327"/>
    <w:rsid w:val="00CE177B"/>
    <w:rsid w:val="00CE5E09"/>
    <w:rsid w:val="00D03B08"/>
    <w:rsid w:val="00D12386"/>
    <w:rsid w:val="00D25297"/>
    <w:rsid w:val="00D374F1"/>
    <w:rsid w:val="00D51464"/>
    <w:rsid w:val="00D754C6"/>
    <w:rsid w:val="00DA06A5"/>
    <w:rsid w:val="00DA58BC"/>
    <w:rsid w:val="00DB15E5"/>
    <w:rsid w:val="00DB540F"/>
    <w:rsid w:val="00DD06A9"/>
    <w:rsid w:val="00DD2A00"/>
    <w:rsid w:val="00DE5282"/>
    <w:rsid w:val="00E0643D"/>
    <w:rsid w:val="00E07F8D"/>
    <w:rsid w:val="00E203DF"/>
    <w:rsid w:val="00E23F07"/>
    <w:rsid w:val="00E30D83"/>
    <w:rsid w:val="00E356F9"/>
    <w:rsid w:val="00E4008A"/>
    <w:rsid w:val="00E43CEB"/>
    <w:rsid w:val="00E507EB"/>
    <w:rsid w:val="00E512F5"/>
    <w:rsid w:val="00E567D0"/>
    <w:rsid w:val="00E62C1F"/>
    <w:rsid w:val="00E727FD"/>
    <w:rsid w:val="00E73801"/>
    <w:rsid w:val="00E85198"/>
    <w:rsid w:val="00E90A2C"/>
    <w:rsid w:val="00E9793B"/>
    <w:rsid w:val="00EA1D90"/>
    <w:rsid w:val="00EA4BBF"/>
    <w:rsid w:val="00EB5B35"/>
    <w:rsid w:val="00EF2AE0"/>
    <w:rsid w:val="00F04F64"/>
    <w:rsid w:val="00F073C6"/>
    <w:rsid w:val="00F124E4"/>
    <w:rsid w:val="00F21443"/>
    <w:rsid w:val="00F37C84"/>
    <w:rsid w:val="00F438B6"/>
    <w:rsid w:val="00F57BC0"/>
    <w:rsid w:val="00F758D2"/>
    <w:rsid w:val="00F75CFF"/>
    <w:rsid w:val="00F76C88"/>
    <w:rsid w:val="00F8002F"/>
    <w:rsid w:val="00F85D8A"/>
    <w:rsid w:val="00F87FD3"/>
    <w:rsid w:val="00FA7645"/>
    <w:rsid w:val="00FB1285"/>
    <w:rsid w:val="00FB1B79"/>
    <w:rsid w:val="00FC325D"/>
    <w:rsid w:val="00FD7949"/>
    <w:rsid w:val="00FE7C50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1E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439E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8439E8"/>
    <w:rPr>
      <w:rFonts w:cs="Times New Roman"/>
      <w:color w:val="954F72"/>
      <w:u w:val="single"/>
    </w:rPr>
  </w:style>
  <w:style w:type="table" w:styleId="TableGrid">
    <w:name w:val="Table Grid"/>
    <w:aliases w:val="PPTabellengitternetz"/>
    <w:basedOn w:val="TableNormal"/>
    <w:uiPriority w:val="99"/>
    <w:rsid w:val="00E23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A080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A080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rsid w:val="00CA080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080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A080F"/>
    <w:pPr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80F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">
    <w:name w:val="Абзац списку"/>
    <w:basedOn w:val="Normal"/>
    <w:link w:val="a0"/>
    <w:uiPriority w:val="99"/>
    <w:rsid w:val="007042FE"/>
    <w:pPr>
      <w:suppressAutoHyphens/>
      <w:spacing w:after="200" w:line="276" w:lineRule="auto"/>
    </w:pPr>
    <w:rPr>
      <w:rFonts w:eastAsia="Times New Roman"/>
      <w:kern w:val="1"/>
      <w:szCs w:val="20"/>
      <w:lang w:eastAsia="ar-SA"/>
    </w:rPr>
  </w:style>
  <w:style w:type="character" w:customStyle="1" w:styleId="a0">
    <w:name w:val="Абзац списку Знак"/>
    <w:link w:val="a"/>
    <w:uiPriority w:val="99"/>
    <w:locked/>
    <w:rsid w:val="007042FE"/>
    <w:rPr>
      <w:rFonts w:ascii="Calibri" w:hAnsi="Calibri"/>
      <w:kern w:val="1"/>
      <w:sz w:val="22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puSir?fbclid=IwAR3-VnFSkckyA_W9KCgLp5aHlySOQDiZRdhaOKHwwkxiCnfmJd0N79lm7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2puSir?fbclid=IwAR3-VnFSkckyA_W9KCgLp5aHlySOQDiZRdhaOKHwwkxiCnfmJd0N79lm7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2puSir?fbclid=IwAR3-VnFSkckyA_W9KCgLp5aHlySOQDiZRdhaOKHwwkxiCnfmJd0N79lm7U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g.gov.ua/Upravlinnia-mistobuduvannia-ta-arhitektury-informue/st-337%20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2puSir?fbclid=IwAR3-VnFSkckyA_W9KCgLp5aHlySOQDiZRdhaOKHwwkxiCnfmJd0N79lm7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15</Pages>
  <Words>22652</Words>
  <Characters>12912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29</cp:revision>
  <cp:lastPrinted>2023-01-24T08:29:00Z</cp:lastPrinted>
  <dcterms:created xsi:type="dcterms:W3CDTF">2023-01-24T07:22:00Z</dcterms:created>
  <dcterms:modified xsi:type="dcterms:W3CDTF">2023-01-24T08:50:00Z</dcterms:modified>
</cp:coreProperties>
</file>